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黑体" w:hAnsi="黑体" w:eastAsia="黑体"/>
          <w:color w:val="auto"/>
          <w:sz w:val="32"/>
          <w:szCs w:val="32"/>
          <w:highlight w:val="none"/>
          <w:lang w:val="en-US" w:eastAsia="zh-CN"/>
        </w:rPr>
      </w:pPr>
    </w:p>
    <w:p>
      <w:pPr>
        <w:pStyle w:val="2"/>
        <w:rPr>
          <w:rFonts w:hint="default"/>
          <w:lang w:val="en-US" w:eastAsia="zh-CN"/>
        </w:rPr>
      </w:pPr>
    </w:p>
    <w:p>
      <w:pPr>
        <w:pStyle w:val="7"/>
        <w:rPr>
          <w:rFonts w:hint="default"/>
          <w:highlight w:val="none"/>
          <w:lang w:val="en-US" w:eastAsia="zh-CN"/>
        </w:rPr>
      </w:pP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lang w:val="en-US" w:eastAsia="zh-CN"/>
        </w:rPr>
      </w:pPr>
    </w:p>
    <w:p>
      <w:pPr>
        <w:widowControl/>
        <w:spacing w:before="100" w:beforeAutospacing="1" w:after="100" w:afterAutospacing="1"/>
        <w:jc w:val="center"/>
        <w:outlineLvl w:val="1"/>
        <w:rPr>
          <w:rFonts w:hint="default" w:ascii="Times New Roman" w:hAnsi="Times New Roman" w:eastAsia="方正小标宋_GBK" w:cs="Times New Roman"/>
          <w:kern w:val="0"/>
          <w:sz w:val="52"/>
          <w:szCs w:val="52"/>
          <w:highlight w:val="none"/>
          <w:lang w:eastAsia="zh-CN"/>
        </w:rPr>
      </w:pPr>
      <w:r>
        <w:rPr>
          <w:rFonts w:hint="default" w:ascii="Times New Roman" w:hAnsi="Times New Roman" w:eastAsia="方正小标宋_GBK" w:cs="Times New Roman"/>
          <w:kern w:val="0"/>
          <w:sz w:val="52"/>
          <w:szCs w:val="52"/>
          <w:highlight w:val="none"/>
          <w:lang w:eastAsia="zh-CN"/>
        </w:rPr>
        <w:t>泽普县</w:t>
      </w:r>
      <w:r>
        <w:rPr>
          <w:rFonts w:hint="default" w:ascii="Times New Roman" w:hAnsi="Times New Roman" w:eastAsia="方正小标宋_GBK" w:cs="Times New Roman"/>
          <w:kern w:val="0"/>
          <w:sz w:val="52"/>
          <w:szCs w:val="52"/>
          <w:highlight w:val="none"/>
          <w:lang w:val="en-US" w:eastAsia="zh-CN"/>
        </w:rPr>
        <w:t>202</w:t>
      </w:r>
      <w:r>
        <w:rPr>
          <w:rFonts w:hint="eastAsia" w:eastAsia="方正小标宋_GBK" w:cs="Times New Roman"/>
          <w:kern w:val="0"/>
          <w:sz w:val="52"/>
          <w:szCs w:val="52"/>
          <w:highlight w:val="none"/>
          <w:lang w:val="en-US" w:eastAsia="zh-CN"/>
        </w:rPr>
        <w:t>6</w:t>
      </w:r>
      <w:r>
        <w:rPr>
          <w:rFonts w:hint="default" w:ascii="Times New Roman" w:hAnsi="Times New Roman" w:eastAsia="方正小标宋_GBK" w:cs="Times New Roman"/>
          <w:kern w:val="0"/>
          <w:sz w:val="52"/>
          <w:szCs w:val="52"/>
          <w:highlight w:val="none"/>
          <w:lang w:val="en-US" w:eastAsia="zh-CN"/>
        </w:rPr>
        <w:t>年</w:t>
      </w:r>
      <w:r>
        <w:rPr>
          <w:rFonts w:hint="default" w:ascii="Times New Roman" w:hAnsi="Times New Roman" w:eastAsia="方正小标宋_GBK" w:cs="Times New Roman"/>
          <w:kern w:val="0"/>
          <w:sz w:val="52"/>
          <w:szCs w:val="52"/>
          <w:highlight w:val="none"/>
        </w:rPr>
        <w:t>政府预算公开</w:t>
      </w: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widowControl/>
        <w:spacing w:line="440" w:lineRule="exact"/>
        <w:jc w:val="both"/>
        <w:outlineLvl w:val="1"/>
        <w:rPr>
          <w:rFonts w:hint="default" w:ascii="Times New Roman" w:hAnsi="Times New Roman" w:eastAsia="黑体" w:cs="Times New Roman"/>
          <w:kern w:val="0"/>
          <w:sz w:val="36"/>
          <w:szCs w:val="32"/>
          <w:highlight w:val="none"/>
          <w:lang w:val="en-US" w:eastAsia="zh-Hans"/>
        </w:rPr>
        <w:sectPr>
          <w:footerReference r:id="rId3" w:type="default"/>
          <w:pgSz w:w="11906" w:h="16838"/>
          <w:pgMar w:top="2098" w:right="1531" w:bottom="1984" w:left="1531" w:header="851" w:footer="992" w:gutter="0"/>
          <w:pgNumType w:fmt="numberInDash"/>
          <w:cols w:space="720" w:num="1"/>
          <w:docGrid w:linePitch="312" w:charSpace="0"/>
        </w:sectPr>
      </w:pPr>
    </w:p>
    <w:p>
      <w:pPr>
        <w:widowControl/>
        <w:spacing w:line="600" w:lineRule="exact"/>
        <w:jc w:val="center"/>
        <w:outlineLvl w:val="1"/>
        <w:rPr>
          <w:rFonts w:hint="default" w:ascii="Times New Roman" w:hAnsi="Times New Roman" w:eastAsia="黑体" w:cs="Times New Roman"/>
          <w:kern w:val="0"/>
          <w:sz w:val="36"/>
          <w:szCs w:val="32"/>
          <w:highlight w:val="none"/>
        </w:rPr>
      </w:pPr>
      <w:r>
        <w:rPr>
          <w:rFonts w:hint="default" w:ascii="Times New Roman" w:hAnsi="Times New Roman" w:eastAsia="黑体" w:cs="Times New Roman"/>
          <w:kern w:val="0"/>
          <w:sz w:val="36"/>
          <w:szCs w:val="32"/>
          <w:highlight w:val="none"/>
          <w:lang w:val="en-US" w:eastAsia="zh-Hans"/>
        </w:rPr>
        <w:t>目</w:t>
      </w:r>
      <w:r>
        <w:rPr>
          <w:rFonts w:hint="default" w:ascii="Times New Roman" w:hAnsi="Times New Roman" w:eastAsia="黑体" w:cs="Times New Roman"/>
          <w:kern w:val="0"/>
          <w:sz w:val="36"/>
          <w:szCs w:val="32"/>
          <w:highlight w:val="none"/>
          <w:lang w:val="en-US" w:eastAsia="zh-CN"/>
        </w:rPr>
        <w:t xml:space="preserve"> </w:t>
      </w:r>
      <w:r>
        <w:rPr>
          <w:rFonts w:hint="default" w:ascii="Times New Roman" w:hAnsi="Times New Roman" w:eastAsia="黑体" w:cs="Times New Roman"/>
          <w:kern w:val="0"/>
          <w:sz w:val="36"/>
          <w:szCs w:val="32"/>
          <w:highlight w:val="none"/>
        </w:rPr>
        <w:t>录</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第一部分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预算草案报告</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第二部分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四本</w:t>
      </w:r>
      <w:r>
        <w:rPr>
          <w:rFonts w:hint="default" w:ascii="Times New Roman" w:hAnsi="Times New Roman" w:eastAsia="仿宋_GB2312" w:cs="Times New Roman"/>
          <w:b/>
          <w:kern w:val="0"/>
          <w:sz w:val="32"/>
          <w:szCs w:val="32"/>
          <w:highlight w:val="none"/>
          <w:lang w:eastAsia="zh-Hans"/>
        </w:rPr>
        <w:t>”</w:t>
      </w:r>
      <w:r>
        <w:rPr>
          <w:rFonts w:hint="default" w:ascii="Times New Roman" w:hAnsi="Times New Roman" w:eastAsia="仿宋_GB2312" w:cs="Times New Roman"/>
          <w:b/>
          <w:kern w:val="0"/>
          <w:sz w:val="32"/>
          <w:szCs w:val="32"/>
          <w:highlight w:val="none"/>
          <w:lang w:val="en-US" w:eastAsia="zh-Hans"/>
        </w:rPr>
        <w:t>预算公开表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b w:val="0"/>
          <w:bCs/>
          <w:sz w:val="32"/>
          <w:highlight w:val="none"/>
          <w:lang w:val="en-US" w:eastAsia="zh-Hans"/>
        </w:rPr>
        <w:t>一</w:t>
      </w:r>
      <w:r>
        <w:rPr>
          <w:rFonts w:hint="default" w:ascii="Times New Roman" w:hAnsi="Times New Roman" w:eastAsia="仿宋_GB2312" w:cs="Times New Roman"/>
          <w:kern w:val="0"/>
          <w:sz w:val="32"/>
          <w:szCs w:val="32"/>
          <w:highlight w:val="none"/>
          <w:lang w:val="en-US" w:eastAsia="zh-Hans"/>
        </w:rPr>
        <w:t>、一般公共预算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二、政府性基金预算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三、国有资本经营预算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四、社会保险基金预算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第三部分</w:t>
      </w:r>
      <w:r>
        <w:rPr>
          <w:rFonts w:hint="default" w:ascii="Times New Roman" w:hAnsi="Times New Roman" w:eastAsia="仿宋_GB2312" w:cs="Times New Roman"/>
          <w:b/>
          <w:kern w:val="0"/>
          <w:sz w:val="32"/>
          <w:szCs w:val="32"/>
          <w:highlight w:val="none"/>
          <w:lang w:eastAsia="zh-Hans"/>
        </w:rPr>
        <w:t xml:space="preserve"> </w:t>
      </w:r>
      <w:r>
        <w:rPr>
          <w:rFonts w:hint="eastAsia" w:eastAsia="仿宋_GB2312" w:cs="Times New Roman"/>
          <w:b/>
          <w:kern w:val="0"/>
          <w:sz w:val="32"/>
          <w:szCs w:val="32"/>
          <w:highlight w:val="none"/>
          <w:lang w:val="en-US" w:eastAsia="zh-CN"/>
        </w:rPr>
        <w:t>财政拨款</w:t>
      </w:r>
      <w:r>
        <w:rPr>
          <w:rFonts w:hint="default" w:ascii="Times New Roman" w:hAnsi="Times New Roman" w:eastAsia="仿宋_GB2312" w:cs="Times New Roman"/>
          <w:b/>
          <w:kern w:val="0"/>
          <w:sz w:val="32"/>
          <w:szCs w:val="32"/>
          <w:highlight w:val="none"/>
          <w:lang w:val="en-US" w:eastAsia="zh-Hans"/>
        </w:rPr>
        <w:t>“三公”经费预算情况说明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第四部分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转移支付安排情况说明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一、一般公共预算对下转移支付情况说明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二、政府性基金预算对下转移支付情况</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三、国有资本经营预算对下转移支付情况</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第五部分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地方政府债务公开情况说明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eastAsia="zh-Hans"/>
        </w:rPr>
      </w:pPr>
      <w:r>
        <w:rPr>
          <w:rFonts w:hint="default" w:ascii="Times New Roman" w:hAnsi="Times New Roman" w:eastAsia="仿宋_GB2312" w:cs="Times New Roman"/>
          <w:b/>
          <w:kern w:val="0"/>
          <w:sz w:val="32"/>
          <w:szCs w:val="32"/>
          <w:highlight w:val="none"/>
          <w:lang w:val="en-US" w:eastAsia="zh-Hans"/>
        </w:rPr>
        <w:t>第六部分</w:t>
      </w:r>
      <w:r>
        <w:rPr>
          <w:rFonts w:hint="default" w:ascii="Times New Roman" w:hAnsi="Times New Roman" w:eastAsia="仿宋_GB2312" w:cs="Times New Roman"/>
          <w:b/>
          <w:kern w:val="0"/>
          <w:sz w:val="32"/>
          <w:szCs w:val="32"/>
          <w:highlight w:val="none"/>
          <w:lang w:eastAsia="zh-Hans"/>
        </w:rPr>
        <w:t xml:space="preserve"> 财政衔接推进乡村振兴补助资金公开情况说明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eastAsia="zh-Hans"/>
        </w:rPr>
      </w:pPr>
      <w:r>
        <w:rPr>
          <w:rFonts w:hint="default" w:ascii="Times New Roman" w:hAnsi="Times New Roman" w:eastAsia="仿宋_GB2312" w:cs="Times New Roman"/>
          <w:b/>
          <w:kern w:val="0"/>
          <w:sz w:val="32"/>
          <w:szCs w:val="32"/>
          <w:highlight w:val="none"/>
          <w:lang w:val="en-US" w:eastAsia="zh-Hans"/>
        </w:rPr>
        <w:t>第七部分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本级汇总的预算绩效情况说明</w:t>
      </w:r>
      <w:r>
        <w:rPr>
          <w:rFonts w:hint="default" w:ascii="Times New Roman" w:hAnsi="Times New Roman" w:eastAsia="仿宋_GB2312" w:cs="Times New Roman"/>
          <w:b/>
          <w:kern w:val="0"/>
          <w:sz w:val="32"/>
          <w:szCs w:val="32"/>
          <w:highlight w:val="none"/>
          <w:lang w:eastAsia="zh-Hans"/>
        </w:rPr>
        <w:t xml:space="preserve"> </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第八部分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其他情况说明</w:t>
      </w:r>
    </w:p>
    <w:p>
      <w:pPr>
        <w:keepNext w:val="0"/>
        <w:keepLines w:val="0"/>
        <w:pageBreakBefore w:val="0"/>
        <w:kinsoku/>
        <w:wordWrap/>
        <w:overflowPunct/>
        <w:topLinePunct w:val="0"/>
        <w:autoSpaceDE w:val="0"/>
        <w:autoSpaceDN w:val="0"/>
        <w:bidi w:val="0"/>
        <w:adjustRightInd/>
        <w:snapToGrid/>
        <w:spacing w:before="0" w:after="0" w:line="266" w:lineRule="auto"/>
        <w:ind w:right="0" w:rightChars="0" w:firstLine="643" w:firstLineChars="200"/>
        <w:jc w:val="center"/>
        <w:textAlignment w:val="auto"/>
        <w:rPr>
          <w:rFonts w:hint="default" w:ascii="Times New Roman" w:hAnsi="Times New Roman" w:eastAsia="方正小标宋_GBK" w:cs="Times New Roman"/>
          <w:b/>
          <w:sz w:val="32"/>
          <w:highlight w:val="none"/>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eastAsia="方正小标宋_GBK" w:cs="Times New Roman"/>
          <w:b/>
          <w:sz w:val="32"/>
          <w:highlight w:val="none"/>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eastAsia="方正小标宋_GBK" w:cs="Times New Roman"/>
          <w:b/>
          <w:sz w:val="32"/>
          <w:highlight w:val="none"/>
        </w:rPr>
      </w:pPr>
    </w:p>
    <w:p>
      <w:pPr>
        <w:widowControl/>
        <w:jc w:val="center"/>
        <w:outlineLvl w:val="1"/>
        <w:rPr>
          <w:rFonts w:hint="default" w:ascii="Times New Roman" w:hAnsi="Times New Roman" w:eastAsia="黑体" w:cs="Times New Roman"/>
          <w:kern w:val="0"/>
          <w:sz w:val="32"/>
          <w:szCs w:val="32"/>
          <w:highlight w:val="none"/>
        </w:rPr>
        <w:sectPr>
          <w:footerReference r:id="rId4" w:type="default"/>
          <w:pgSz w:w="11906" w:h="16838"/>
          <w:pgMar w:top="2098" w:right="1531" w:bottom="1984" w:left="1531" w:header="851" w:footer="992" w:gutter="0"/>
          <w:pgNumType w:fmt="numberInDash" w:start="2"/>
          <w:cols w:space="720" w:num="1"/>
          <w:docGrid w:linePitch="312" w:charSpace="0"/>
        </w:sectPr>
      </w:pPr>
    </w:p>
    <w:p>
      <w:pPr>
        <w:widowControl/>
        <w:jc w:val="center"/>
        <w:outlineLvl w:val="1"/>
        <w:rPr>
          <w:rFonts w:hint="default" w:ascii="黑体" w:hAnsi="黑体" w:eastAsia="黑体"/>
          <w:color w:val="auto"/>
          <w:kern w:val="0"/>
          <w:sz w:val="32"/>
          <w:szCs w:val="32"/>
          <w:highlight w:val="none"/>
          <w:lang w:val="en-US" w:eastAsia="zh-Hans"/>
        </w:rPr>
      </w:pPr>
    </w:p>
    <w:p>
      <w:pPr>
        <w:widowControl/>
        <w:jc w:val="center"/>
        <w:outlineLvl w:val="1"/>
        <w:rPr>
          <w:rFonts w:hint="eastAsia" w:ascii="方正黑体_GBK" w:hAnsi="方正黑体_GBK" w:eastAsia="方正黑体_GBK" w:cs="方正黑体_GBK"/>
          <w:kern w:val="0"/>
          <w:sz w:val="36"/>
          <w:szCs w:val="36"/>
          <w:highlight w:val="none"/>
          <w:lang w:val="en-US" w:eastAsia="zh-Hans"/>
        </w:rPr>
      </w:pPr>
      <w:r>
        <w:rPr>
          <w:rFonts w:hint="eastAsia" w:ascii="方正黑体_GBK" w:hAnsi="方正黑体_GBK" w:eastAsia="方正黑体_GBK" w:cs="方正黑体_GBK"/>
          <w:color w:val="auto"/>
          <w:kern w:val="0"/>
          <w:sz w:val="36"/>
          <w:szCs w:val="36"/>
          <w:highlight w:val="none"/>
          <w:lang w:val="en-US" w:eastAsia="zh-Hans"/>
        </w:rPr>
        <w:t>第一部分</w:t>
      </w:r>
      <w:r>
        <w:rPr>
          <w:rFonts w:hint="eastAsia" w:ascii="方正黑体_GBK" w:hAnsi="方正黑体_GBK" w:eastAsia="方正黑体_GBK" w:cs="方正黑体_GBK"/>
          <w:color w:val="auto"/>
          <w:kern w:val="0"/>
          <w:sz w:val="36"/>
          <w:szCs w:val="36"/>
          <w:highlight w:val="none"/>
          <w:lang w:val="en-US" w:eastAsia="zh-CN"/>
        </w:rPr>
        <w:t xml:space="preserve"> </w:t>
      </w:r>
      <w:r>
        <w:rPr>
          <w:rFonts w:hint="eastAsia" w:ascii="方正黑体_GBK" w:hAnsi="方正黑体_GBK" w:eastAsia="方正黑体_GBK" w:cs="方正黑体_GBK"/>
          <w:color w:val="auto"/>
          <w:kern w:val="0"/>
          <w:sz w:val="36"/>
          <w:szCs w:val="36"/>
          <w:highlight w:val="none"/>
          <w:lang w:val="en-US" w:eastAsia="zh-Hans"/>
        </w:rPr>
        <w:t>预算草案报告</w:t>
      </w:r>
    </w:p>
    <w:p>
      <w:pPr>
        <w:adjustRightInd w:val="0"/>
        <w:snapToGrid w:val="0"/>
        <w:spacing w:line="560" w:lineRule="exact"/>
        <w:jc w:val="center"/>
        <w:textAlignment w:val="bottom"/>
        <w:rPr>
          <w:rFonts w:hint="eastAsia" w:ascii="方正小标宋_GBK" w:hAnsi="方正小标宋_GBK" w:eastAsia="方正小标宋_GBK" w:cs="方正小标宋_GBK"/>
          <w:b/>
          <w:bCs/>
          <w:spacing w:val="-4"/>
          <w:kern w:val="0"/>
          <w:sz w:val="44"/>
          <w:szCs w:val="44"/>
        </w:rPr>
      </w:pPr>
    </w:p>
    <w:p>
      <w:pPr>
        <w:adjustRightInd w:val="0"/>
        <w:snapToGrid w:val="0"/>
        <w:spacing w:line="560" w:lineRule="exact"/>
        <w:jc w:val="center"/>
        <w:textAlignment w:val="bottom"/>
        <w:rPr>
          <w:rFonts w:hint="eastAsia" w:ascii="方正小标宋_GBK" w:hAnsi="方正小标宋_GBK" w:eastAsia="方正小标宋_GBK" w:cs="方正小标宋_GBK"/>
          <w:b/>
          <w:bCs/>
          <w:spacing w:val="-4"/>
          <w:kern w:val="0"/>
          <w:sz w:val="44"/>
          <w:szCs w:val="44"/>
        </w:rPr>
      </w:pPr>
    </w:p>
    <w:p>
      <w:pPr>
        <w:adjustRightInd w:val="0"/>
        <w:snapToGrid w:val="0"/>
        <w:spacing w:line="560" w:lineRule="exact"/>
        <w:jc w:val="center"/>
        <w:textAlignment w:val="bottom"/>
        <w:rPr>
          <w:rFonts w:hint="eastAsia" w:ascii="方正小标宋_GBK" w:hAnsi="方正小标宋_GBK" w:eastAsia="方正小标宋_GBK" w:cs="方正小标宋_GBK"/>
          <w:b/>
          <w:bCs/>
          <w:spacing w:val="-4"/>
          <w:kern w:val="0"/>
          <w:sz w:val="44"/>
          <w:szCs w:val="44"/>
        </w:rPr>
      </w:pPr>
      <w:r>
        <w:rPr>
          <w:rFonts w:hint="eastAsia" w:ascii="方正小标宋_GBK" w:hAnsi="方正小标宋_GBK" w:eastAsia="方正小标宋_GBK" w:cs="方正小标宋_GBK"/>
          <w:b/>
          <w:bCs/>
          <w:spacing w:val="-4"/>
          <w:kern w:val="0"/>
          <w:sz w:val="44"/>
          <w:szCs w:val="44"/>
        </w:rPr>
        <w:t>关于</w:t>
      </w:r>
      <w:r>
        <w:rPr>
          <w:rFonts w:hint="eastAsia" w:ascii="方正小标宋_GBK" w:hAnsi="方正小标宋_GBK" w:eastAsia="方正小标宋_GBK" w:cs="方正小标宋_GBK"/>
          <w:b/>
          <w:bCs/>
          <w:spacing w:val="-4"/>
          <w:kern w:val="0"/>
          <w:sz w:val="44"/>
          <w:szCs w:val="44"/>
          <w:lang w:eastAsia="zh-CN"/>
        </w:rPr>
        <w:t>泽普县</w:t>
      </w:r>
      <w:r>
        <w:rPr>
          <w:rFonts w:hint="eastAsia" w:ascii="方正小标宋_GBK" w:hAnsi="方正小标宋_GBK" w:eastAsia="方正小标宋_GBK" w:cs="方正小标宋_GBK"/>
          <w:b/>
          <w:bCs/>
          <w:spacing w:val="-4"/>
          <w:kern w:val="0"/>
          <w:sz w:val="44"/>
          <w:szCs w:val="44"/>
          <w:lang w:val="en-US" w:eastAsia="zh-CN"/>
        </w:rPr>
        <w:t>2025</w:t>
      </w:r>
      <w:r>
        <w:rPr>
          <w:rFonts w:hint="eastAsia" w:ascii="方正小标宋_GBK" w:hAnsi="方正小标宋_GBK" w:eastAsia="方正小标宋_GBK" w:cs="方正小标宋_GBK"/>
          <w:b/>
          <w:bCs/>
          <w:spacing w:val="-4"/>
          <w:kern w:val="0"/>
          <w:sz w:val="44"/>
          <w:szCs w:val="44"/>
        </w:rPr>
        <w:t>年财政预算执行情况</w:t>
      </w:r>
    </w:p>
    <w:p>
      <w:pPr>
        <w:adjustRightInd w:val="0"/>
        <w:snapToGrid w:val="0"/>
        <w:spacing w:line="560" w:lineRule="exact"/>
        <w:jc w:val="center"/>
        <w:textAlignment w:val="bottom"/>
        <w:rPr>
          <w:rFonts w:hint="eastAsia" w:ascii="方正小标宋_GBK" w:hAnsi="方正小标宋_GBK" w:eastAsia="方正小标宋_GBK" w:cs="方正小标宋_GBK"/>
          <w:b/>
          <w:bCs/>
          <w:spacing w:val="-4"/>
          <w:kern w:val="0"/>
          <w:sz w:val="44"/>
          <w:szCs w:val="44"/>
        </w:rPr>
      </w:pPr>
      <w:r>
        <w:rPr>
          <w:rFonts w:hint="eastAsia" w:ascii="方正小标宋_GBK" w:hAnsi="方正小标宋_GBK" w:eastAsia="方正小标宋_GBK" w:cs="方正小标宋_GBK"/>
          <w:b/>
          <w:bCs/>
          <w:spacing w:val="-4"/>
          <w:kern w:val="0"/>
          <w:sz w:val="44"/>
          <w:szCs w:val="44"/>
        </w:rPr>
        <w:t>和202</w:t>
      </w:r>
      <w:r>
        <w:rPr>
          <w:rFonts w:hint="eastAsia" w:ascii="方正小标宋_GBK" w:hAnsi="方正小标宋_GBK" w:eastAsia="方正小标宋_GBK" w:cs="方正小标宋_GBK"/>
          <w:b/>
          <w:bCs/>
          <w:spacing w:val="-4"/>
          <w:kern w:val="0"/>
          <w:sz w:val="44"/>
          <w:szCs w:val="44"/>
          <w:lang w:val="en-US" w:eastAsia="zh-CN"/>
        </w:rPr>
        <w:t>6</w:t>
      </w:r>
      <w:r>
        <w:rPr>
          <w:rFonts w:hint="eastAsia" w:ascii="方正小标宋_GBK" w:hAnsi="方正小标宋_GBK" w:eastAsia="方正小标宋_GBK" w:cs="方正小标宋_GBK"/>
          <w:b/>
          <w:bCs/>
          <w:spacing w:val="-4"/>
          <w:kern w:val="0"/>
          <w:sz w:val="44"/>
          <w:szCs w:val="44"/>
        </w:rPr>
        <w:t>年财政预算（草案）的报告</w:t>
      </w:r>
    </w:p>
    <w:p>
      <w:pPr>
        <w:adjustRightInd w:val="0"/>
        <w:snapToGrid w:val="0"/>
        <w:spacing w:line="560" w:lineRule="exact"/>
        <w:textAlignment w:val="bottom"/>
        <w:rPr>
          <w:rFonts w:hint="default" w:ascii="Times New Roman" w:hAnsi="Times New Roman" w:eastAsia="仿宋_GB2312" w:cs="Times New Roman"/>
          <w:spacing w:val="-4"/>
          <w:kern w:val="0"/>
          <w:sz w:val="24"/>
        </w:rPr>
      </w:pPr>
    </w:p>
    <w:p>
      <w:pPr>
        <w:keepNext w:val="0"/>
        <w:keepLines w:val="0"/>
        <w:pageBreakBefore w:val="0"/>
        <w:widowControl w:val="0"/>
        <w:kinsoku/>
        <w:wordWrap/>
        <w:overflowPunct/>
        <w:topLinePunct w:val="0"/>
        <w:autoSpaceDE/>
        <w:bidi w:val="0"/>
        <w:spacing w:line="620" w:lineRule="exact"/>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202</w:t>
      </w:r>
      <w:r>
        <w:rPr>
          <w:rFonts w:hint="eastAsia" w:ascii="Times New Roman" w:hAnsi="Times New Roman"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lang w:val="en-US" w:eastAsia="zh-CN"/>
        </w:rPr>
        <w:t>年</w:t>
      </w:r>
      <w:r>
        <w:rPr>
          <w:rFonts w:hint="eastAsia" w:eastAsia="方正仿宋_GBK" w:cs="Times New Roman"/>
          <w:sz w:val="32"/>
          <w:szCs w:val="32"/>
          <w:highlight w:val="none"/>
          <w:lang w:val="en-US" w:eastAsia="zh-CN"/>
        </w:rPr>
        <w:t>1月</w:t>
      </w:r>
      <w:r>
        <w:rPr>
          <w:rFonts w:hint="default" w:ascii="Times New Roman" w:hAnsi="Times New Roman" w:eastAsia="方正仿宋_GBK" w:cs="Times New Roman"/>
          <w:sz w:val="32"/>
          <w:szCs w:val="32"/>
          <w:highlight w:val="none"/>
          <w:lang w:val="en-US" w:eastAsia="zh-CN"/>
        </w:rPr>
        <w:t>在泽普县</w:t>
      </w:r>
      <w:bookmarkStart w:id="0" w:name="OLE_LINK1"/>
      <w:r>
        <w:rPr>
          <w:rFonts w:hint="default" w:ascii="Times New Roman" w:hAnsi="Times New Roman" w:eastAsia="方正仿宋_GBK" w:cs="Times New Roman"/>
          <w:sz w:val="32"/>
          <w:szCs w:val="32"/>
          <w:highlight w:val="none"/>
          <w:lang w:val="en-US" w:eastAsia="zh-CN"/>
        </w:rPr>
        <w:t>第十七届人民代表大会第</w:t>
      </w:r>
      <w:r>
        <w:rPr>
          <w:rFonts w:hint="eastAsia" w:ascii="Times New Roman" w:hAnsi="Times New Roman" w:eastAsia="方正仿宋_GBK" w:cs="Times New Roman"/>
          <w:sz w:val="32"/>
          <w:szCs w:val="32"/>
          <w:highlight w:val="none"/>
          <w:lang w:val="en-US" w:eastAsia="zh-CN"/>
        </w:rPr>
        <w:t>七</w:t>
      </w:r>
      <w:r>
        <w:rPr>
          <w:rFonts w:hint="default" w:ascii="Times New Roman" w:hAnsi="Times New Roman" w:eastAsia="方正仿宋_GBK" w:cs="Times New Roman"/>
          <w:sz w:val="32"/>
          <w:szCs w:val="32"/>
          <w:highlight w:val="none"/>
          <w:lang w:val="en-US" w:eastAsia="zh-CN"/>
        </w:rPr>
        <w:t>次会议</w:t>
      </w:r>
      <w:bookmarkEnd w:id="0"/>
      <w:r>
        <w:rPr>
          <w:rFonts w:hint="default" w:ascii="Times New Roman" w:hAnsi="Times New Roman" w:eastAsia="方正仿宋_GBK" w:cs="Times New Roman"/>
          <w:sz w:val="32"/>
          <w:szCs w:val="32"/>
          <w:highlight w:val="none"/>
          <w:lang w:val="en-US" w:eastAsia="zh-CN"/>
        </w:rPr>
        <w:t>上</w:t>
      </w:r>
    </w:p>
    <w:p>
      <w:pPr>
        <w:keepNext w:val="0"/>
        <w:keepLines w:val="0"/>
        <w:pageBreakBefore w:val="0"/>
        <w:widowControl w:val="0"/>
        <w:kinsoku/>
        <w:wordWrap/>
        <w:overflowPunct/>
        <w:topLinePunct w:val="0"/>
        <w:autoSpaceDE/>
        <w:bidi w:val="0"/>
        <w:spacing w:line="620" w:lineRule="exact"/>
        <w:textAlignment w:val="auto"/>
        <w:rPr>
          <w:rFonts w:hint="default" w:ascii="Times New Roman" w:hAnsi="Times New Roman" w:eastAsia="方正仿宋_GBK" w:cs="Times New Roman"/>
          <w:sz w:val="32"/>
          <w:szCs w:val="32"/>
          <w:highlight w:val="none"/>
          <w:lang w:val="en-US" w:eastAsia="zh-CN"/>
        </w:rPr>
      </w:pPr>
    </w:p>
    <w:p>
      <w:pPr>
        <w:keepNext w:val="0"/>
        <w:keepLines w:val="0"/>
        <w:pageBreakBefore w:val="0"/>
        <w:widowControl w:val="0"/>
        <w:kinsoku/>
        <w:wordWrap/>
        <w:overflowPunct/>
        <w:topLinePunct w:val="0"/>
        <w:autoSpaceDE/>
        <w:bidi w:val="0"/>
        <w:spacing w:line="620" w:lineRule="exact"/>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 xml:space="preserve">各位代表： </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Hans"/>
        </w:rPr>
      </w:pPr>
      <w:r>
        <w:rPr>
          <w:rFonts w:hint="default" w:ascii="Times New Roman" w:hAnsi="Times New Roman" w:eastAsia="方正仿宋_GBK" w:cs="Times New Roman"/>
          <w:sz w:val="32"/>
          <w:szCs w:val="32"/>
          <w:highlight w:val="none"/>
          <w:lang w:val="en-US" w:eastAsia="zh-CN"/>
        </w:rPr>
        <w:t>受泽普县人民政府委托，向大会作</w:t>
      </w:r>
      <w:r>
        <w:rPr>
          <w:rFonts w:hint="eastAsia" w:ascii="Times New Roman" w:hAnsi="Times New Roman" w:eastAsia="方正仿宋_GBK" w:cs="Times New Roman"/>
          <w:sz w:val="32"/>
          <w:szCs w:val="32"/>
          <w:highlight w:val="none"/>
          <w:lang w:val="en-US" w:eastAsia="zh-CN"/>
        </w:rPr>
        <w:t>出</w:t>
      </w:r>
      <w:r>
        <w:rPr>
          <w:rFonts w:hint="default" w:ascii="Times New Roman" w:hAnsi="Times New Roman" w:eastAsia="方正仿宋_GBK" w:cs="Times New Roman"/>
          <w:sz w:val="32"/>
          <w:szCs w:val="32"/>
          <w:highlight w:val="none"/>
          <w:lang w:val="en-US" w:eastAsia="zh-CN"/>
        </w:rPr>
        <w:t>关于</w:t>
      </w:r>
      <w:r>
        <w:rPr>
          <w:rFonts w:hint="eastAsia" w:ascii="Times New Roman" w:hAnsi="Times New Roman" w:eastAsia="方正仿宋_GBK" w:cs="Times New Roman"/>
          <w:sz w:val="32"/>
          <w:szCs w:val="32"/>
          <w:highlight w:val="none"/>
          <w:lang w:val="en-US" w:eastAsia="zh-CN"/>
        </w:rPr>
        <w:t>泽普县2025年财政预算执行情况和</w:t>
      </w:r>
      <w:r>
        <w:rPr>
          <w:rFonts w:hint="default" w:ascii="Times New Roman" w:hAnsi="Times New Roman" w:eastAsia="方正仿宋_GBK" w:cs="Times New Roman"/>
          <w:sz w:val="32"/>
          <w:szCs w:val="32"/>
          <w:highlight w:val="none"/>
          <w:lang w:val="en-US" w:eastAsia="zh-CN"/>
        </w:rPr>
        <w:t>2</w:t>
      </w:r>
      <w:r>
        <w:rPr>
          <w:rFonts w:hint="eastAsia" w:ascii="Times New Roman" w:hAnsi="Times New Roman" w:eastAsia="方正仿宋_GBK" w:cs="Times New Roman"/>
          <w:sz w:val="32"/>
          <w:szCs w:val="32"/>
          <w:highlight w:val="none"/>
          <w:lang w:val="en-US" w:eastAsia="zh-CN"/>
        </w:rPr>
        <w:t>026</w:t>
      </w:r>
      <w:r>
        <w:rPr>
          <w:rFonts w:hint="default" w:ascii="Times New Roman" w:hAnsi="Times New Roman" w:eastAsia="方正仿宋_GBK" w:cs="Times New Roman"/>
          <w:sz w:val="32"/>
          <w:szCs w:val="32"/>
          <w:highlight w:val="none"/>
          <w:lang w:val="en-US" w:eastAsia="zh-CN"/>
        </w:rPr>
        <w:t>年财政预算（草案）的报告，请予审议，</w:t>
      </w:r>
      <w:bookmarkStart w:id="1" w:name="OLE_LINK3"/>
      <w:r>
        <w:rPr>
          <w:rFonts w:hint="default" w:ascii="Times New Roman" w:hAnsi="Times New Roman" w:eastAsia="方正仿宋_GBK" w:cs="Times New Roman"/>
          <w:sz w:val="32"/>
          <w:szCs w:val="32"/>
          <w:highlight w:val="none"/>
          <w:lang w:val="en-US" w:eastAsia="zh-CN"/>
        </w:rPr>
        <w:t>并请各位</w:t>
      </w:r>
      <w:r>
        <w:rPr>
          <w:rFonts w:hint="eastAsia" w:eastAsia="方正仿宋_GBK" w:cs="Times New Roman"/>
          <w:sz w:val="32"/>
          <w:szCs w:val="32"/>
          <w:highlight w:val="none"/>
          <w:lang w:val="en-US" w:eastAsia="zh-CN"/>
        </w:rPr>
        <w:t>人大</w:t>
      </w:r>
      <w:r>
        <w:rPr>
          <w:rFonts w:hint="default" w:ascii="Times New Roman" w:hAnsi="Times New Roman" w:eastAsia="方正仿宋_GBK" w:cs="Times New Roman"/>
          <w:sz w:val="32"/>
          <w:szCs w:val="32"/>
          <w:highlight w:val="none"/>
          <w:lang w:val="en-US" w:eastAsia="zh-CN"/>
        </w:rPr>
        <w:t>委员和列席会议的同志提出意见</w:t>
      </w:r>
      <w:bookmarkEnd w:id="1"/>
      <w:r>
        <w:rPr>
          <w:rFonts w:hint="default" w:ascii="Times New Roman" w:hAnsi="Times New Roman" w:eastAsia="方正仿宋_GBK" w:cs="Times New Roman"/>
          <w:sz w:val="32"/>
          <w:szCs w:val="32"/>
          <w:highlight w:val="none"/>
          <w:lang w:val="en-US" w:eastAsia="zh-CN"/>
        </w:rPr>
        <w:t xml:space="preserve">。 </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黑体" w:cs="Times New Roman"/>
          <w:kern w:val="0"/>
          <w:sz w:val="32"/>
          <w:szCs w:val="32"/>
          <w:highlight w:val="none"/>
          <w:lang w:val="en-US" w:eastAsia="zh-Hans"/>
        </w:rPr>
      </w:pPr>
      <w:r>
        <w:rPr>
          <w:rFonts w:hint="eastAsia" w:ascii="Times New Roman" w:hAnsi="Times New Roman" w:eastAsia="方正仿宋_GBK" w:cs="Times New Roman"/>
          <w:sz w:val="32"/>
          <w:szCs w:val="32"/>
          <w:highlight w:val="none"/>
          <w:lang w:val="en-US" w:eastAsia="zh-CN"/>
        </w:rPr>
        <w:t>2025</w:t>
      </w:r>
      <w:r>
        <w:rPr>
          <w:rFonts w:hint="default" w:ascii="Times New Roman" w:hAnsi="Times New Roman" w:eastAsia="方正仿宋_GBK" w:cs="Times New Roman"/>
          <w:sz w:val="32"/>
          <w:szCs w:val="32"/>
          <w:highlight w:val="none"/>
          <w:lang w:val="en-US" w:eastAsia="zh-CN"/>
        </w:rPr>
        <w:t>年在县委的正确领导下，在县人大、县政协依法监督指导和支持下，财政部门坚持以习近平新时代中国特色社会主义思想为指导，紧紧围绕党的二十大精神、</w:t>
      </w:r>
      <w:r>
        <w:rPr>
          <w:rFonts w:hint="eastAsia" w:ascii="Times New Roman" w:hAnsi="Times New Roman" w:eastAsia="方正仿宋_GBK" w:cs="Times New Roman"/>
          <w:sz w:val="32"/>
          <w:szCs w:val="32"/>
          <w:highlight w:val="none"/>
          <w:lang w:val="en-US" w:eastAsia="zh-CN"/>
        </w:rPr>
        <w:t>党的</w:t>
      </w:r>
      <w:r>
        <w:rPr>
          <w:rFonts w:hint="default" w:ascii="Times New Roman" w:hAnsi="Times New Roman" w:eastAsia="方正仿宋_GBK" w:cs="Times New Roman"/>
          <w:sz w:val="32"/>
          <w:szCs w:val="32"/>
          <w:highlight w:val="none"/>
          <w:lang w:val="en-US" w:eastAsia="zh-CN"/>
        </w:rPr>
        <w:t>二十届三中全会精神和自治区党委、地委、县委有关会议精神，严格执行县第十七届人大第</w:t>
      </w:r>
      <w:r>
        <w:rPr>
          <w:rFonts w:hint="eastAsia" w:ascii="Times New Roman" w:hAnsi="Times New Roman" w:eastAsia="方正仿宋_GBK" w:cs="Times New Roman"/>
          <w:sz w:val="32"/>
          <w:szCs w:val="32"/>
          <w:highlight w:val="none"/>
          <w:lang w:val="en-US" w:eastAsia="zh-CN"/>
        </w:rPr>
        <w:t>七</w:t>
      </w:r>
      <w:r>
        <w:rPr>
          <w:rFonts w:hint="default" w:ascii="Times New Roman" w:hAnsi="Times New Roman" w:eastAsia="方正仿宋_GBK" w:cs="Times New Roman"/>
          <w:sz w:val="32"/>
          <w:szCs w:val="32"/>
          <w:highlight w:val="none"/>
          <w:lang w:val="en-US" w:eastAsia="zh-CN"/>
        </w:rPr>
        <w:t>次会议批准的财政预算和各项工作目标，坚持稳字当头、稳中求进，稳步推进各项财政改革和财政管理工作，实现了县域经济社会高质量发展。</w:t>
      </w:r>
      <w:r>
        <w:rPr>
          <w:rFonts w:hint="eastAsia" w:ascii="Times New Roman" w:hAnsi="Times New Roman" w:eastAsia="方正仿宋_GBK" w:cs="Times New Roman"/>
          <w:sz w:val="32"/>
          <w:szCs w:val="32"/>
          <w:highlight w:val="none"/>
          <w:lang w:val="en-US" w:eastAsia="zh-CN"/>
        </w:rPr>
        <w:t>同时</w:t>
      </w:r>
      <w:r>
        <w:rPr>
          <w:rFonts w:hint="default" w:ascii="Times New Roman" w:hAnsi="Times New Roman" w:eastAsia="方正仿宋_GBK" w:cs="Times New Roman"/>
          <w:sz w:val="32"/>
          <w:szCs w:val="32"/>
          <w:highlight w:val="none"/>
          <w:lang w:val="en-US" w:eastAsia="zh-CN"/>
        </w:rPr>
        <w:t>根据《中华人民共和国预算法》规定，</w:t>
      </w:r>
      <w:r>
        <w:rPr>
          <w:rFonts w:hint="eastAsia" w:ascii="Times New Roman" w:hAnsi="Times New Roman" w:eastAsia="方正仿宋_GBK" w:cs="Times New Roman"/>
          <w:sz w:val="32"/>
          <w:szCs w:val="32"/>
          <w:highlight w:val="none"/>
          <w:lang w:val="en-US" w:eastAsia="zh-CN"/>
        </w:rPr>
        <w:t>并</w:t>
      </w:r>
      <w:r>
        <w:rPr>
          <w:rFonts w:hint="default" w:ascii="Times New Roman" w:hAnsi="Times New Roman" w:eastAsia="方正仿宋_GBK" w:cs="Times New Roman"/>
          <w:sz w:val="32"/>
          <w:szCs w:val="32"/>
          <w:highlight w:val="none"/>
          <w:lang w:val="en-US" w:eastAsia="zh-CN"/>
        </w:rPr>
        <w:t>结合实际可用财力，</w:t>
      </w:r>
      <w:r>
        <w:rPr>
          <w:rFonts w:hint="eastAsia" w:ascii="Times New Roman" w:hAnsi="Times New Roman" w:eastAsia="方正仿宋_GBK" w:cs="Times New Roman"/>
          <w:sz w:val="32"/>
          <w:szCs w:val="32"/>
          <w:highlight w:val="none"/>
          <w:lang w:val="en-US" w:eastAsia="zh-CN"/>
        </w:rPr>
        <w:t>现对2026</w:t>
      </w:r>
      <w:r>
        <w:rPr>
          <w:rFonts w:hint="default" w:ascii="Times New Roman" w:hAnsi="Times New Roman" w:eastAsia="方正仿宋_GBK" w:cs="Times New Roman"/>
          <w:sz w:val="32"/>
          <w:szCs w:val="32"/>
          <w:highlight w:val="none"/>
          <w:lang w:val="en-US" w:eastAsia="zh-CN"/>
        </w:rPr>
        <w:t>年财政收支预算安排</w:t>
      </w:r>
      <w:r>
        <w:rPr>
          <w:rFonts w:hint="eastAsia" w:ascii="Times New Roman" w:hAnsi="Times New Roman" w:eastAsia="方正仿宋_GBK" w:cs="Times New Roman"/>
          <w:sz w:val="32"/>
          <w:szCs w:val="32"/>
          <w:highlight w:val="none"/>
          <w:lang w:val="en-US" w:eastAsia="zh-CN"/>
        </w:rPr>
        <w:t>汇报</w:t>
      </w:r>
      <w:r>
        <w:rPr>
          <w:rFonts w:hint="default" w:ascii="Times New Roman" w:hAnsi="Times New Roman" w:eastAsia="方正仿宋_GBK" w:cs="Times New Roman"/>
          <w:sz w:val="32"/>
          <w:szCs w:val="32"/>
          <w:highlight w:val="none"/>
          <w:lang w:val="en-US" w:eastAsia="zh-CN"/>
        </w:rPr>
        <w:t>如下：</w:t>
      </w:r>
    </w:p>
    <w:p>
      <w:pPr>
        <w:keepNext w:val="0"/>
        <w:keepLines w:val="0"/>
        <w:pageBreakBefore w:val="0"/>
        <w:widowControl w:val="0"/>
        <w:kinsoku/>
        <w:wordWrap/>
        <w:overflowPunct/>
        <w:topLinePunct w:val="0"/>
        <w:autoSpaceDE/>
        <w:bidi w:val="0"/>
        <w:spacing w:line="620" w:lineRule="exact"/>
        <w:ind w:firstLine="616" w:firstLineChars="200"/>
        <w:textAlignment w:val="auto"/>
        <w:rPr>
          <w:rFonts w:hint="eastAsia" w:ascii="方正楷体_GBK" w:hAnsi="方正楷体_GBK" w:eastAsia="方正楷体_GBK" w:cs="方正楷体_GBK"/>
          <w:b/>
          <w:spacing w:val="-6"/>
          <w:sz w:val="32"/>
          <w:szCs w:val="32"/>
          <w:highlight w:val="none"/>
          <w:lang w:eastAsia="zh-CN"/>
        </w:rPr>
      </w:pPr>
      <w:r>
        <w:rPr>
          <w:rFonts w:hint="eastAsia" w:ascii="方正楷体_GBK" w:hAnsi="方正楷体_GBK" w:eastAsia="方正楷体_GBK" w:cs="方正楷体_GBK"/>
          <w:b/>
          <w:spacing w:val="-6"/>
          <w:sz w:val="32"/>
          <w:szCs w:val="32"/>
          <w:highlight w:val="none"/>
          <w:lang w:eastAsia="zh-CN"/>
        </w:rPr>
        <w:t>（一）一般公共预算情况</w:t>
      </w:r>
    </w:p>
    <w:p>
      <w:pPr>
        <w:keepNext w:val="0"/>
        <w:keepLines w:val="0"/>
        <w:pageBreakBefore w:val="0"/>
        <w:widowControl w:val="0"/>
        <w:kinsoku/>
        <w:wordWrap/>
        <w:overflowPunct/>
        <w:topLinePunct w:val="0"/>
        <w:autoSpaceDE/>
        <w:bidi w:val="0"/>
        <w:spacing w:line="620" w:lineRule="exact"/>
        <w:ind w:firstLine="619" w:firstLineChars="200"/>
        <w:textAlignment w:val="auto"/>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1</w:t>
      </w:r>
      <w:r>
        <w:rPr>
          <w:rFonts w:hint="eastAsia" w:ascii="Times New Roman" w:hAnsi="Times New Roman" w:eastAsia="方正仿宋_GBK" w:cs="Times New Roman"/>
          <w:b/>
          <w:spacing w:val="-6"/>
          <w:sz w:val="32"/>
          <w:szCs w:val="32"/>
          <w:highlight w:val="none"/>
          <w:lang w:val="en-US" w:eastAsia="zh-CN"/>
        </w:rPr>
        <w:t>.</w:t>
      </w:r>
      <w:r>
        <w:rPr>
          <w:rFonts w:hint="default" w:ascii="Times New Roman" w:hAnsi="Times New Roman" w:eastAsia="方正仿宋_GBK" w:cs="Times New Roman"/>
          <w:b/>
          <w:spacing w:val="-6"/>
          <w:sz w:val="32"/>
          <w:szCs w:val="32"/>
          <w:highlight w:val="none"/>
          <w:lang w:eastAsia="zh-CN"/>
        </w:rPr>
        <w:t>202</w:t>
      </w:r>
      <w:r>
        <w:rPr>
          <w:rFonts w:hint="eastAsia" w:eastAsia="方正仿宋_GBK" w:cs="Times New Roman"/>
          <w:b/>
          <w:spacing w:val="-6"/>
          <w:sz w:val="32"/>
          <w:szCs w:val="32"/>
          <w:highlight w:val="none"/>
          <w:lang w:val="en-US" w:eastAsia="zh-CN"/>
        </w:rPr>
        <w:t>6</w:t>
      </w:r>
      <w:r>
        <w:rPr>
          <w:rFonts w:hint="default" w:ascii="Times New Roman" w:hAnsi="Times New Roman" w:eastAsia="方正仿宋_GBK" w:cs="Times New Roman"/>
          <w:b/>
          <w:spacing w:val="-6"/>
          <w:sz w:val="32"/>
          <w:szCs w:val="32"/>
          <w:highlight w:val="none"/>
          <w:lang w:eastAsia="zh-CN"/>
        </w:rPr>
        <w:t>年</w:t>
      </w:r>
      <w:r>
        <w:rPr>
          <w:rFonts w:hint="default" w:ascii="Times New Roman" w:hAnsi="Times New Roman" w:eastAsia="方正仿宋_GBK" w:cs="Times New Roman"/>
          <w:b/>
          <w:spacing w:val="-6"/>
          <w:sz w:val="32"/>
          <w:szCs w:val="32"/>
          <w:highlight w:val="none"/>
        </w:rPr>
        <w:t>公共财政预算总财力为</w:t>
      </w:r>
      <w:r>
        <w:rPr>
          <w:rFonts w:hint="eastAsia" w:eastAsia="方正仿宋_GBK" w:cs="Times New Roman"/>
          <w:b/>
          <w:bCs/>
          <w:sz w:val="32"/>
          <w:szCs w:val="32"/>
          <w:highlight w:val="none"/>
          <w:lang w:val="en-US" w:eastAsia="zh-CN"/>
        </w:rPr>
        <w:t>305332</w:t>
      </w:r>
      <w:r>
        <w:rPr>
          <w:rFonts w:hint="default" w:ascii="Times New Roman" w:hAnsi="Times New Roman" w:eastAsia="方正仿宋_GBK" w:cs="Times New Roman"/>
          <w:b/>
          <w:spacing w:val="-6"/>
          <w:sz w:val="32"/>
          <w:szCs w:val="32"/>
          <w:highlight w:val="none"/>
        </w:rPr>
        <w:t>万元，具体为：</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（1）本级收入202</w:t>
      </w:r>
      <w:r>
        <w:rPr>
          <w:rFonts w:hint="eastAsia"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rPr>
        <w:t>年收入按照202</w:t>
      </w:r>
      <w:r>
        <w:rPr>
          <w:rFonts w:hint="eastAsia"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年预算收入</w:t>
      </w:r>
      <w:r>
        <w:rPr>
          <w:rFonts w:hint="eastAsia" w:eastAsia="方正仿宋_GBK" w:cs="Times New Roman"/>
          <w:sz w:val="32"/>
          <w:szCs w:val="32"/>
          <w:highlight w:val="none"/>
          <w:lang w:val="en-US" w:eastAsia="zh-CN"/>
        </w:rPr>
        <w:t>30626</w:t>
      </w:r>
      <w:r>
        <w:rPr>
          <w:rFonts w:hint="default" w:ascii="Times New Roman" w:hAnsi="Times New Roman" w:eastAsia="方正仿宋_GBK" w:cs="Times New Roman"/>
          <w:sz w:val="32"/>
          <w:szCs w:val="32"/>
          <w:highlight w:val="none"/>
        </w:rPr>
        <w:t>万元增长</w:t>
      </w:r>
      <w:r>
        <w:rPr>
          <w:rFonts w:hint="eastAsia" w:eastAsia="方正仿宋_GBK" w:cs="Times New Roman"/>
          <w:sz w:val="32"/>
          <w:szCs w:val="32"/>
          <w:highlight w:val="none"/>
          <w:lang w:val="en-US" w:eastAsia="zh-CN"/>
        </w:rPr>
        <w:t>8</w:t>
      </w:r>
      <w:r>
        <w:rPr>
          <w:rFonts w:hint="default" w:ascii="Times New Roman" w:hAnsi="Times New Roman" w:eastAsia="方正仿宋_GBK" w:cs="Times New Roman"/>
          <w:sz w:val="32"/>
          <w:szCs w:val="32"/>
          <w:highlight w:val="none"/>
        </w:rPr>
        <w:t>%计算，</w:t>
      </w:r>
      <w:r>
        <w:rPr>
          <w:rFonts w:hint="eastAsia" w:eastAsia="方正仿宋_GBK" w:cs="Times New Roman"/>
          <w:sz w:val="32"/>
          <w:szCs w:val="32"/>
          <w:highlight w:val="none"/>
          <w:lang w:eastAsia="zh-CN"/>
        </w:rPr>
        <w:t>即</w:t>
      </w:r>
      <w:r>
        <w:rPr>
          <w:rFonts w:hint="eastAsia" w:eastAsia="方正仿宋_GBK" w:cs="Times New Roman"/>
          <w:sz w:val="32"/>
          <w:szCs w:val="32"/>
          <w:highlight w:val="none"/>
          <w:lang w:val="en-US" w:eastAsia="zh-CN"/>
        </w:rPr>
        <w:t>33076</w:t>
      </w:r>
      <w:r>
        <w:rPr>
          <w:rFonts w:hint="default" w:ascii="Times New Roman" w:hAnsi="Times New Roman" w:eastAsia="方正仿宋_GBK" w:cs="Times New Roman"/>
          <w:sz w:val="32"/>
          <w:szCs w:val="32"/>
          <w:highlight w:val="none"/>
        </w:rPr>
        <w:t>万元，其中：税收收入预计完成</w:t>
      </w:r>
      <w:r>
        <w:rPr>
          <w:rFonts w:hint="eastAsia" w:eastAsia="方正仿宋_GBK" w:cs="Times New Roman"/>
          <w:sz w:val="32"/>
          <w:szCs w:val="32"/>
          <w:highlight w:val="none"/>
          <w:lang w:val="en-US" w:eastAsia="zh-CN"/>
        </w:rPr>
        <w:t>14577</w:t>
      </w:r>
      <w:r>
        <w:rPr>
          <w:rFonts w:hint="default" w:ascii="Times New Roman" w:hAnsi="Times New Roman" w:eastAsia="方正仿宋_GBK" w:cs="Times New Roman"/>
          <w:sz w:val="32"/>
          <w:szCs w:val="32"/>
          <w:highlight w:val="none"/>
        </w:rPr>
        <w:t>万元；非税收入预计完成</w:t>
      </w:r>
      <w:r>
        <w:rPr>
          <w:rFonts w:hint="eastAsia" w:eastAsia="方正仿宋_GBK" w:cs="Times New Roman"/>
          <w:sz w:val="32"/>
          <w:szCs w:val="32"/>
          <w:highlight w:val="none"/>
          <w:lang w:val="en-US" w:eastAsia="zh-CN"/>
        </w:rPr>
        <w:t>18499</w:t>
      </w:r>
      <w:r>
        <w:rPr>
          <w:rFonts w:hint="default" w:ascii="Times New Roman" w:hAnsi="Times New Roman" w:eastAsia="方正仿宋_GBK" w:cs="Times New Roman"/>
          <w:sz w:val="32"/>
          <w:szCs w:val="32"/>
          <w:highlight w:val="none"/>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2</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上级</w:t>
      </w:r>
      <w:r>
        <w:rPr>
          <w:rFonts w:hint="eastAsia" w:eastAsia="方正仿宋_GBK" w:cs="Times New Roman"/>
          <w:sz w:val="32"/>
          <w:szCs w:val="32"/>
          <w:highlight w:val="none"/>
          <w:lang w:eastAsia="zh-CN"/>
        </w:rPr>
        <w:t>财力性</w:t>
      </w:r>
      <w:r>
        <w:rPr>
          <w:rFonts w:hint="default" w:ascii="Times New Roman" w:hAnsi="Times New Roman" w:eastAsia="方正仿宋_GBK" w:cs="Times New Roman"/>
          <w:sz w:val="32"/>
          <w:szCs w:val="32"/>
          <w:highlight w:val="none"/>
        </w:rPr>
        <w:t>补助收入</w:t>
      </w:r>
      <w:r>
        <w:rPr>
          <w:rFonts w:hint="eastAsia" w:eastAsia="方正仿宋_GBK" w:cs="Times New Roman"/>
          <w:sz w:val="32"/>
          <w:szCs w:val="32"/>
          <w:highlight w:val="none"/>
          <w:lang w:val="en-US" w:eastAsia="zh-CN"/>
        </w:rPr>
        <w:t>133705</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其中：①返还性收入1306万元</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②体制补助收入</w:t>
      </w:r>
      <w:r>
        <w:rPr>
          <w:rFonts w:hint="default" w:ascii="Times New Roman" w:hAnsi="Times New Roman" w:eastAsia="方正仿宋_GBK" w:cs="Times New Roman"/>
          <w:sz w:val="32"/>
          <w:szCs w:val="32"/>
          <w:highlight w:val="none"/>
          <w:lang w:val="en-US" w:eastAsia="zh-CN"/>
        </w:rPr>
        <w:t>10287</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③均衡性转移支付收入</w:t>
      </w:r>
      <w:r>
        <w:rPr>
          <w:rFonts w:hint="eastAsia" w:eastAsia="方正仿宋_GBK" w:cs="Times New Roman"/>
          <w:sz w:val="32"/>
          <w:szCs w:val="32"/>
          <w:highlight w:val="none"/>
          <w:lang w:val="en-US" w:eastAsia="zh-CN"/>
        </w:rPr>
        <w:t>29477</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④2010年农村义务教育学校绩效工资转移支付资金（新财预[2010]80号）328万元；⑤固定数额补助</w:t>
      </w:r>
      <w:r>
        <w:rPr>
          <w:rFonts w:hint="eastAsia" w:eastAsia="方正仿宋_GBK" w:cs="Times New Roman"/>
          <w:sz w:val="32"/>
          <w:szCs w:val="32"/>
          <w:highlight w:val="none"/>
          <w:lang w:val="en-US" w:eastAsia="zh-CN"/>
        </w:rPr>
        <w:t>68459</w:t>
      </w:r>
      <w:r>
        <w:rPr>
          <w:rFonts w:hint="default" w:ascii="Times New Roman" w:hAnsi="Times New Roman" w:eastAsia="方正仿宋_GBK" w:cs="Times New Roman"/>
          <w:sz w:val="32"/>
          <w:szCs w:val="32"/>
          <w:highlight w:val="none"/>
        </w:rPr>
        <w:t>万元；⑥农林水共同事权转移支付169万元；⑦重点生态功能区补助收入</w:t>
      </w:r>
      <w:r>
        <w:rPr>
          <w:rFonts w:hint="eastAsia" w:eastAsia="方正仿宋_GBK" w:cs="Times New Roman"/>
          <w:sz w:val="32"/>
          <w:szCs w:val="32"/>
          <w:highlight w:val="none"/>
          <w:lang w:val="en-US" w:eastAsia="zh-CN"/>
        </w:rPr>
        <w:t>8031</w:t>
      </w:r>
      <w:r>
        <w:rPr>
          <w:rFonts w:hint="default" w:ascii="Times New Roman" w:hAnsi="Times New Roman" w:eastAsia="方正仿宋_GBK" w:cs="Times New Roman"/>
          <w:sz w:val="32"/>
          <w:szCs w:val="32"/>
          <w:highlight w:val="none"/>
        </w:rPr>
        <w:t>万元（202</w:t>
      </w:r>
      <w:r>
        <w:rPr>
          <w:rFonts w:hint="eastAsia"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rPr>
        <w:t>年提前预告知）；⑧县级基本财力保障机制奖补资金</w:t>
      </w:r>
      <w:r>
        <w:rPr>
          <w:rFonts w:hint="eastAsia" w:eastAsia="方正仿宋_GBK" w:cs="Times New Roman"/>
          <w:sz w:val="32"/>
          <w:szCs w:val="32"/>
          <w:highlight w:val="none"/>
          <w:lang w:val="en-US" w:eastAsia="zh-CN"/>
        </w:rPr>
        <w:t>15649</w:t>
      </w:r>
      <w:r>
        <w:rPr>
          <w:rFonts w:hint="default" w:ascii="Times New Roman" w:hAnsi="Times New Roman" w:eastAsia="方正仿宋_GBK" w:cs="Times New Roman"/>
          <w:sz w:val="32"/>
          <w:szCs w:val="32"/>
          <w:highlight w:val="none"/>
        </w:rPr>
        <w:t>万元（202</w:t>
      </w:r>
      <w:r>
        <w:rPr>
          <w:rFonts w:hint="eastAsia"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rPr>
        <w:t>年提前预告知）；</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3</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提前预告知专项资金</w:t>
      </w:r>
      <w:r>
        <w:rPr>
          <w:rFonts w:hint="eastAsia" w:eastAsia="方正仿宋_GBK" w:cs="Times New Roman"/>
          <w:sz w:val="32"/>
          <w:szCs w:val="32"/>
          <w:highlight w:val="none"/>
          <w:lang w:val="en-US" w:eastAsia="zh-CN"/>
        </w:rPr>
        <w:t>101080</w:t>
      </w:r>
      <w:r>
        <w:rPr>
          <w:rFonts w:hint="default" w:ascii="Times New Roman" w:hAnsi="Times New Roman" w:eastAsia="方正仿宋_GBK" w:cs="Times New Roman"/>
          <w:sz w:val="32"/>
          <w:szCs w:val="32"/>
          <w:highlight w:val="none"/>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4</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基金收入调入公共财政</w:t>
      </w:r>
      <w:r>
        <w:rPr>
          <w:rFonts w:hint="eastAsia" w:eastAsia="方正仿宋_GBK" w:cs="Times New Roman"/>
          <w:sz w:val="32"/>
          <w:szCs w:val="32"/>
          <w:highlight w:val="none"/>
          <w:lang w:val="en-US" w:eastAsia="zh-CN"/>
        </w:rPr>
        <w:t>9380</w:t>
      </w:r>
      <w:r>
        <w:rPr>
          <w:rFonts w:hint="default" w:ascii="Times New Roman" w:hAnsi="Times New Roman" w:eastAsia="方正仿宋_GBK" w:cs="Times New Roman"/>
          <w:sz w:val="32"/>
          <w:szCs w:val="32"/>
          <w:highlight w:val="none"/>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5</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国有资本调入公共财政</w:t>
      </w:r>
      <w:r>
        <w:rPr>
          <w:rFonts w:hint="eastAsia" w:eastAsia="方正仿宋_GBK" w:cs="Times New Roman"/>
          <w:sz w:val="32"/>
          <w:szCs w:val="32"/>
          <w:highlight w:val="none"/>
          <w:lang w:val="en-US" w:eastAsia="zh-CN"/>
        </w:rPr>
        <w:t>400</w:t>
      </w:r>
      <w:r>
        <w:rPr>
          <w:rFonts w:hint="default" w:ascii="Times New Roman" w:hAnsi="Times New Roman" w:eastAsia="方正仿宋_GBK" w:cs="Times New Roman"/>
          <w:sz w:val="32"/>
          <w:szCs w:val="32"/>
          <w:highlight w:val="none"/>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6</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债务转贷（借新还旧）</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7</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专项结转</w:t>
      </w:r>
      <w:r>
        <w:rPr>
          <w:rFonts w:hint="eastAsia" w:ascii="Times New Roman" w:hAnsi="Times New Roman" w:eastAsia="方正仿宋_GBK" w:cs="Times New Roman"/>
          <w:sz w:val="32"/>
          <w:szCs w:val="32"/>
          <w:highlight w:val="none"/>
          <w:lang w:val="en-US" w:eastAsia="zh-CN"/>
        </w:rPr>
        <w:t>25618</w:t>
      </w:r>
      <w:r>
        <w:rPr>
          <w:rFonts w:hint="default" w:ascii="Times New Roman" w:hAnsi="Times New Roman" w:eastAsia="方正仿宋_GBK" w:cs="Times New Roman"/>
          <w:sz w:val="32"/>
          <w:szCs w:val="32"/>
          <w:highlight w:val="none"/>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8</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动用预算稳定调节基金</w:t>
      </w:r>
      <w:r>
        <w:rPr>
          <w:rFonts w:hint="eastAsia" w:eastAsia="方正仿宋_GBK" w:cs="Times New Roman"/>
          <w:sz w:val="32"/>
          <w:szCs w:val="32"/>
          <w:highlight w:val="none"/>
          <w:lang w:val="en-US" w:eastAsia="zh-CN"/>
        </w:rPr>
        <w:t>2073</w:t>
      </w:r>
      <w:r>
        <w:rPr>
          <w:rFonts w:hint="default" w:ascii="Times New Roman" w:hAnsi="Times New Roman" w:eastAsia="方正仿宋_GBK" w:cs="Times New Roman"/>
          <w:sz w:val="32"/>
          <w:szCs w:val="32"/>
          <w:highlight w:val="none"/>
        </w:rPr>
        <w:t>万元；</w:t>
      </w:r>
    </w:p>
    <w:p>
      <w:pPr>
        <w:keepNext w:val="0"/>
        <w:keepLines w:val="0"/>
        <w:pageBreakBefore w:val="0"/>
        <w:widowControl w:val="0"/>
        <w:kinsoku/>
        <w:wordWrap/>
        <w:overflowPunct/>
        <w:topLinePunct w:val="0"/>
        <w:autoSpaceDE/>
        <w:bidi w:val="0"/>
        <w:spacing w:line="620" w:lineRule="exact"/>
        <w:ind w:firstLine="619" w:firstLineChars="200"/>
        <w:textAlignment w:val="auto"/>
        <w:rPr>
          <w:rFonts w:hint="default" w:ascii="Times New Roman" w:hAnsi="Times New Roman" w:eastAsia="方正仿宋_GBK" w:cs="Times New Roman"/>
          <w:b/>
          <w:spacing w:val="-6"/>
          <w:sz w:val="32"/>
          <w:szCs w:val="32"/>
          <w:highlight w:val="none"/>
        </w:rPr>
      </w:pPr>
      <w:r>
        <w:rPr>
          <w:rFonts w:hint="default" w:ascii="Times New Roman" w:hAnsi="Times New Roman" w:eastAsia="方正仿宋_GBK" w:cs="Times New Roman"/>
          <w:b/>
          <w:spacing w:val="-6"/>
          <w:sz w:val="32"/>
          <w:szCs w:val="32"/>
          <w:highlight w:val="none"/>
        </w:rPr>
        <w:t>2</w:t>
      </w:r>
      <w:r>
        <w:rPr>
          <w:rFonts w:hint="eastAsia" w:ascii="Times New Roman" w:hAnsi="Times New Roman" w:eastAsia="方正仿宋_GBK" w:cs="Times New Roman"/>
          <w:b/>
          <w:spacing w:val="-6"/>
          <w:sz w:val="32"/>
          <w:szCs w:val="32"/>
          <w:highlight w:val="none"/>
          <w:lang w:val="en-US" w:eastAsia="zh-CN"/>
        </w:rPr>
        <w:t>.</w:t>
      </w:r>
      <w:r>
        <w:rPr>
          <w:rFonts w:hint="default" w:ascii="Times New Roman" w:hAnsi="Times New Roman" w:eastAsia="方正仿宋_GBK" w:cs="Times New Roman"/>
          <w:b/>
          <w:spacing w:val="-6"/>
          <w:sz w:val="32"/>
          <w:szCs w:val="32"/>
          <w:highlight w:val="none"/>
          <w:lang w:eastAsia="zh-CN"/>
        </w:rPr>
        <w:t>202</w:t>
      </w:r>
      <w:r>
        <w:rPr>
          <w:rFonts w:hint="eastAsia" w:eastAsia="方正仿宋_GBK" w:cs="Times New Roman"/>
          <w:b/>
          <w:spacing w:val="-6"/>
          <w:sz w:val="32"/>
          <w:szCs w:val="32"/>
          <w:highlight w:val="none"/>
          <w:lang w:val="en-US" w:eastAsia="zh-CN"/>
        </w:rPr>
        <w:t>6</w:t>
      </w:r>
      <w:r>
        <w:rPr>
          <w:rFonts w:hint="default" w:ascii="Times New Roman" w:hAnsi="Times New Roman" w:eastAsia="方正仿宋_GBK" w:cs="Times New Roman"/>
          <w:b/>
          <w:spacing w:val="-6"/>
          <w:sz w:val="32"/>
          <w:szCs w:val="32"/>
          <w:highlight w:val="none"/>
          <w:lang w:eastAsia="zh-CN"/>
        </w:rPr>
        <w:t>年一般公共预算</w:t>
      </w:r>
      <w:r>
        <w:rPr>
          <w:rFonts w:hint="default" w:ascii="Times New Roman" w:hAnsi="Times New Roman" w:eastAsia="方正仿宋_GBK" w:cs="Times New Roman"/>
          <w:b/>
          <w:spacing w:val="-6"/>
          <w:sz w:val="32"/>
          <w:szCs w:val="32"/>
          <w:highlight w:val="none"/>
        </w:rPr>
        <w:t>支出安排为</w:t>
      </w:r>
      <w:r>
        <w:rPr>
          <w:rFonts w:hint="eastAsia" w:eastAsia="方正仿宋_GBK" w:cs="Times New Roman"/>
          <w:b/>
          <w:bCs/>
          <w:sz w:val="32"/>
          <w:szCs w:val="32"/>
          <w:highlight w:val="none"/>
          <w:lang w:val="en-US" w:eastAsia="zh-CN"/>
        </w:rPr>
        <w:t>305332</w:t>
      </w:r>
      <w:r>
        <w:rPr>
          <w:rFonts w:hint="default" w:ascii="Times New Roman" w:hAnsi="Times New Roman" w:eastAsia="方正仿宋_GBK" w:cs="Times New Roman"/>
          <w:b/>
          <w:spacing w:val="-6"/>
          <w:sz w:val="32"/>
          <w:szCs w:val="32"/>
          <w:highlight w:val="none"/>
        </w:rPr>
        <w:t>万元，具体情况为：</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（1）个人刚性支出</w:t>
      </w:r>
      <w:r>
        <w:rPr>
          <w:rFonts w:hint="eastAsia" w:eastAsia="方正仿宋_GBK" w:cs="Times New Roman"/>
          <w:sz w:val="32"/>
          <w:szCs w:val="32"/>
          <w:highlight w:val="none"/>
          <w:lang w:val="en-US" w:eastAsia="zh-CN"/>
        </w:rPr>
        <w:t>153897</w:t>
      </w:r>
      <w:r>
        <w:rPr>
          <w:rFonts w:hint="default" w:ascii="Times New Roman" w:hAnsi="Times New Roman" w:eastAsia="方正仿宋_GBK" w:cs="Times New Roman"/>
          <w:sz w:val="32"/>
          <w:szCs w:val="32"/>
          <w:highlight w:val="none"/>
        </w:rPr>
        <w:t>万元。包含：在职人员工资福利支出和离退休人员对个人家庭补助支出，个人取暖费、公积金、社会保障缴费等；</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（2）机构运转支出</w:t>
      </w:r>
      <w:r>
        <w:rPr>
          <w:rFonts w:hint="eastAsia" w:eastAsia="方正仿宋_GBK" w:cs="Times New Roman"/>
          <w:sz w:val="32"/>
          <w:szCs w:val="32"/>
          <w:highlight w:val="none"/>
          <w:lang w:val="en-US" w:eastAsia="zh-CN"/>
        </w:rPr>
        <w:t>2074</w:t>
      </w:r>
      <w:r>
        <w:rPr>
          <w:rFonts w:hint="default" w:ascii="Times New Roman" w:hAnsi="Times New Roman" w:eastAsia="方正仿宋_GBK" w:cs="Times New Roman"/>
          <w:sz w:val="32"/>
          <w:szCs w:val="32"/>
          <w:highlight w:val="none"/>
        </w:rPr>
        <w:t>万元，包含办公经费、交通费、公用取暖费等维持机构正常运转的必要支出；</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eastAsia"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（3）</w:t>
      </w:r>
      <w:r>
        <w:rPr>
          <w:rFonts w:hint="eastAsia" w:eastAsia="方正仿宋_GBK" w:cs="Times New Roman"/>
          <w:sz w:val="32"/>
          <w:szCs w:val="32"/>
          <w:highlight w:val="none"/>
          <w:lang w:val="en-US" w:eastAsia="zh-CN"/>
        </w:rPr>
        <w:t>保基本民生县级配套项目6762万元；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eastAsia"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编制外人员保障支出8736万元；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lang w:val="en-US" w:eastAsia="zh-CN"/>
        </w:rPr>
      </w:pP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暂付款消化支出0万元；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lang w:val="en-US" w:eastAsia="zh-CN"/>
        </w:rPr>
        <w:t>）提前预告知专项支出</w:t>
      </w:r>
      <w:r>
        <w:rPr>
          <w:rFonts w:hint="eastAsia" w:eastAsia="方正仿宋_GBK" w:cs="Times New Roman"/>
          <w:sz w:val="32"/>
          <w:szCs w:val="32"/>
          <w:highlight w:val="none"/>
          <w:lang w:val="en-US" w:eastAsia="zh-CN"/>
        </w:rPr>
        <w:t>101080</w:t>
      </w:r>
      <w:r>
        <w:rPr>
          <w:rFonts w:hint="default" w:ascii="Times New Roman" w:hAnsi="Times New Roman" w:eastAsia="方正仿宋_GBK" w:cs="Times New Roman"/>
          <w:sz w:val="32"/>
          <w:szCs w:val="32"/>
          <w:highlight w:val="none"/>
          <w:lang w:val="en-US" w:eastAsia="zh-CN"/>
        </w:rPr>
        <w:t>万元。</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7</w:t>
      </w:r>
      <w:r>
        <w:rPr>
          <w:rFonts w:hint="default" w:ascii="Times New Roman" w:hAnsi="Times New Roman" w:eastAsia="方正仿宋_GBK" w:cs="Times New Roman"/>
          <w:sz w:val="32"/>
          <w:szCs w:val="32"/>
          <w:highlight w:val="none"/>
          <w:lang w:val="en-US" w:eastAsia="zh-CN"/>
        </w:rPr>
        <w:t>）专项结转支出</w:t>
      </w:r>
      <w:r>
        <w:rPr>
          <w:rFonts w:hint="eastAsia" w:eastAsia="方正仿宋_GBK" w:cs="Times New Roman"/>
          <w:sz w:val="32"/>
          <w:szCs w:val="32"/>
          <w:highlight w:val="none"/>
          <w:lang w:val="en-US" w:eastAsia="zh-CN"/>
        </w:rPr>
        <w:t>25618</w:t>
      </w:r>
      <w:r>
        <w:rPr>
          <w:rFonts w:hint="default" w:ascii="Times New Roman" w:hAnsi="Times New Roman" w:eastAsia="方正仿宋_GBK" w:cs="Times New Roman"/>
          <w:sz w:val="32"/>
          <w:szCs w:val="32"/>
          <w:highlight w:val="none"/>
          <w:lang w:val="en-US" w:eastAsia="zh-CN"/>
        </w:rPr>
        <w:t>万元；</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8</w:t>
      </w:r>
      <w:r>
        <w:rPr>
          <w:rFonts w:hint="default" w:ascii="Times New Roman" w:hAnsi="Times New Roman" w:eastAsia="方正仿宋_GBK" w:cs="Times New Roman"/>
          <w:sz w:val="32"/>
          <w:szCs w:val="32"/>
          <w:highlight w:val="none"/>
          <w:lang w:val="en-US" w:eastAsia="zh-CN"/>
        </w:rPr>
        <w:t>）一般债券还本支出</w:t>
      </w:r>
      <w:r>
        <w:rPr>
          <w:rFonts w:hint="eastAsia" w:eastAsia="方正仿宋_GBK" w:cs="Times New Roman"/>
          <w:sz w:val="32"/>
          <w:szCs w:val="32"/>
          <w:highlight w:val="none"/>
          <w:lang w:val="en-US" w:eastAsia="zh-CN"/>
        </w:rPr>
        <w:t>619</w:t>
      </w:r>
      <w:r>
        <w:rPr>
          <w:rFonts w:hint="default" w:ascii="Times New Roman" w:hAnsi="Times New Roman" w:eastAsia="方正仿宋_GBK" w:cs="Times New Roman"/>
          <w:sz w:val="32"/>
          <w:szCs w:val="32"/>
          <w:highlight w:val="none"/>
          <w:lang w:val="en-US" w:eastAsia="zh-CN"/>
        </w:rPr>
        <w:t>万元（含日协还款31万元）、一般债券付息支出3000万元、债券发行费支出0万元（按照自治区财政厅相关文件要求，必须纳入公共预算安排）；</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9</w:t>
      </w:r>
      <w:r>
        <w:rPr>
          <w:rFonts w:hint="default"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rPr>
        <w:t>上解支出5</w:t>
      </w:r>
      <w:r>
        <w:rPr>
          <w:rFonts w:hint="eastAsia" w:eastAsia="方正仿宋_GBK" w:cs="Times New Roman"/>
          <w:sz w:val="32"/>
          <w:szCs w:val="32"/>
          <w:highlight w:val="none"/>
          <w:lang w:val="en-US" w:eastAsia="zh-CN"/>
        </w:rPr>
        <w:t>96</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（上解交通专项</w:t>
      </w:r>
      <w:r>
        <w:rPr>
          <w:rFonts w:hint="default" w:ascii="Times New Roman" w:hAnsi="Times New Roman" w:eastAsia="方正仿宋_GBK" w:cs="Times New Roman"/>
          <w:sz w:val="32"/>
          <w:szCs w:val="32"/>
          <w:highlight w:val="none"/>
          <w:lang w:val="en-US" w:eastAsia="zh-CN"/>
        </w:rPr>
        <w:t>577万元、上解重大传染病防控经费2万元</w:t>
      </w:r>
      <w:r>
        <w:rPr>
          <w:rFonts w:hint="eastAsia" w:eastAsia="方正仿宋_GBK" w:cs="Times New Roman"/>
          <w:sz w:val="32"/>
          <w:szCs w:val="32"/>
          <w:highlight w:val="none"/>
          <w:lang w:val="en-US" w:eastAsia="zh-CN"/>
        </w:rPr>
        <w:t>、国防领域（义务兵家庭优待金）上解项目17万元</w:t>
      </w:r>
      <w:r>
        <w:rPr>
          <w:rFonts w:hint="default" w:ascii="Times New Roman" w:hAnsi="Times New Roman" w:eastAsia="方正仿宋_GBK" w:cs="Times New Roman"/>
          <w:sz w:val="32"/>
          <w:szCs w:val="32"/>
          <w:highlight w:val="none"/>
          <w:lang w:eastAsia="zh-CN"/>
        </w:rPr>
        <w:t>）；</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10</w:t>
      </w:r>
      <w:r>
        <w:rPr>
          <w:rFonts w:hint="default" w:ascii="Times New Roman" w:hAnsi="Times New Roman" w:eastAsia="方正仿宋_GBK" w:cs="Times New Roman"/>
          <w:sz w:val="32"/>
          <w:szCs w:val="32"/>
          <w:highlight w:val="none"/>
          <w:lang w:val="en-US" w:eastAsia="zh-CN"/>
        </w:rPr>
        <w:t>）预备费</w:t>
      </w:r>
      <w:r>
        <w:rPr>
          <w:rFonts w:hint="eastAsia" w:eastAsia="方正仿宋_GBK" w:cs="Times New Roman"/>
          <w:sz w:val="32"/>
          <w:szCs w:val="32"/>
          <w:highlight w:val="none"/>
          <w:lang w:val="en-US" w:eastAsia="zh-CN"/>
        </w:rPr>
        <w:t>2950万元（预备费按照预算法要求应列一般公共预算本级支出的1%--3%）。</w:t>
      </w:r>
    </w:p>
    <w:p>
      <w:pPr>
        <w:keepNext w:val="0"/>
        <w:keepLines w:val="0"/>
        <w:pageBreakBefore w:val="0"/>
        <w:widowControl w:val="0"/>
        <w:shd w:val="solid" w:color="FFFFFF" w:fill="auto"/>
        <w:kinsoku/>
        <w:wordWrap/>
        <w:overflowPunct/>
        <w:topLinePunct w:val="0"/>
        <w:autoSpaceDE/>
        <w:autoSpaceDN w:val="0"/>
        <w:bidi w:val="0"/>
        <w:spacing w:line="620" w:lineRule="exact"/>
        <w:ind w:firstLine="643" w:firstLineChars="200"/>
        <w:textAlignment w:val="auto"/>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rPr>
        <w:t>3</w:t>
      </w:r>
      <w:r>
        <w:rPr>
          <w:rFonts w:hint="eastAsia" w:ascii="Times New Roman" w:hAnsi="Times New Roman" w:eastAsia="方正仿宋_GBK" w:cs="Times New Roman"/>
          <w:b/>
          <w:bCs/>
          <w:sz w:val="32"/>
          <w:szCs w:val="32"/>
          <w:highlight w:val="none"/>
          <w:lang w:val="en-US" w:eastAsia="zh-CN"/>
        </w:rPr>
        <w:t>.</w:t>
      </w:r>
      <w:r>
        <w:rPr>
          <w:rFonts w:hint="default" w:ascii="Times New Roman" w:hAnsi="Times New Roman" w:eastAsia="方正仿宋_GBK" w:cs="Times New Roman"/>
          <w:b/>
          <w:bCs/>
          <w:sz w:val="32"/>
          <w:szCs w:val="32"/>
          <w:highlight w:val="none"/>
        </w:rPr>
        <w:t>收支平衡情况：</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按照收支平衡原则，一般公共预算收入3</w:t>
      </w:r>
      <w:r>
        <w:rPr>
          <w:rFonts w:hint="eastAsia" w:eastAsia="方正仿宋_GBK" w:cs="Times New Roman"/>
          <w:sz w:val="32"/>
          <w:szCs w:val="32"/>
          <w:highlight w:val="none"/>
          <w:lang w:val="en-US" w:eastAsia="zh-CN"/>
        </w:rPr>
        <w:t>05331</w:t>
      </w:r>
      <w:r>
        <w:rPr>
          <w:rFonts w:hint="default" w:ascii="Times New Roman" w:hAnsi="Times New Roman" w:eastAsia="方正仿宋_GBK" w:cs="Times New Roman"/>
          <w:sz w:val="32"/>
          <w:szCs w:val="32"/>
          <w:highlight w:val="none"/>
        </w:rPr>
        <w:t>万元；用于人员支出153897万元，公用支出2074万元，保基本民生县级配套项目6762万元，编制外人员保障支出</w:t>
      </w:r>
      <w:r>
        <w:rPr>
          <w:rFonts w:hint="eastAsia" w:eastAsia="方正仿宋_GBK" w:cs="Times New Roman"/>
          <w:sz w:val="32"/>
          <w:szCs w:val="32"/>
          <w:highlight w:val="none"/>
          <w:lang w:val="en-US" w:eastAsia="zh-CN"/>
        </w:rPr>
        <w:t>8</w:t>
      </w:r>
      <w:r>
        <w:rPr>
          <w:rFonts w:hint="default" w:ascii="Times New Roman" w:hAnsi="Times New Roman" w:eastAsia="方正仿宋_GBK" w:cs="Times New Roman"/>
          <w:sz w:val="32"/>
          <w:szCs w:val="32"/>
          <w:highlight w:val="none"/>
        </w:rPr>
        <w:t>736万元；暂付款消化支出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万元；预告知专项支出</w:t>
      </w:r>
      <w:r>
        <w:rPr>
          <w:rFonts w:hint="eastAsia" w:eastAsia="方正仿宋_GBK" w:cs="Times New Roman"/>
          <w:sz w:val="32"/>
          <w:szCs w:val="32"/>
          <w:highlight w:val="none"/>
          <w:lang w:val="en-US" w:eastAsia="zh-CN"/>
        </w:rPr>
        <w:t>101080</w:t>
      </w:r>
      <w:r>
        <w:rPr>
          <w:rFonts w:hint="default" w:ascii="Times New Roman" w:hAnsi="Times New Roman" w:eastAsia="方正仿宋_GBK" w:cs="Times New Roman"/>
          <w:sz w:val="32"/>
          <w:szCs w:val="32"/>
          <w:highlight w:val="none"/>
        </w:rPr>
        <w:t>万元，专项结转支出2561</w:t>
      </w:r>
      <w:r>
        <w:rPr>
          <w:rFonts w:hint="eastAsia" w:eastAsia="方正仿宋_GBK" w:cs="Times New Roman"/>
          <w:sz w:val="32"/>
          <w:szCs w:val="32"/>
          <w:highlight w:val="none"/>
          <w:lang w:val="en-US" w:eastAsia="zh-CN"/>
        </w:rPr>
        <w:t>8</w:t>
      </w:r>
      <w:r>
        <w:rPr>
          <w:rFonts w:hint="default" w:ascii="Times New Roman" w:hAnsi="Times New Roman" w:eastAsia="方正仿宋_GBK" w:cs="Times New Roman"/>
          <w:sz w:val="32"/>
          <w:szCs w:val="32"/>
          <w:highlight w:val="none"/>
        </w:rPr>
        <w:t>万元，一般债券还本付息支出</w:t>
      </w:r>
      <w:r>
        <w:rPr>
          <w:rFonts w:hint="eastAsia" w:eastAsia="方正仿宋_GBK" w:cs="Times New Roman"/>
          <w:sz w:val="32"/>
          <w:szCs w:val="32"/>
          <w:highlight w:val="none"/>
          <w:lang w:val="en-US" w:eastAsia="zh-CN"/>
        </w:rPr>
        <w:t>36</w:t>
      </w:r>
      <w:r>
        <w:rPr>
          <w:rFonts w:hint="default" w:ascii="Times New Roman" w:hAnsi="Times New Roman" w:eastAsia="方正仿宋_GBK" w:cs="Times New Roman"/>
          <w:sz w:val="32"/>
          <w:szCs w:val="32"/>
          <w:highlight w:val="none"/>
        </w:rPr>
        <w:t>19万元，上解支出596万元，预备费2950万元，收支差额0万元，收支平衡。</w:t>
      </w:r>
    </w:p>
    <w:p>
      <w:pPr>
        <w:keepNext w:val="0"/>
        <w:keepLines w:val="0"/>
        <w:pageBreakBefore w:val="0"/>
        <w:widowControl w:val="0"/>
        <w:kinsoku/>
        <w:wordWrap/>
        <w:overflowPunct/>
        <w:topLinePunct w:val="0"/>
        <w:autoSpaceDE/>
        <w:bidi w:val="0"/>
        <w:spacing w:line="620" w:lineRule="exact"/>
        <w:ind w:firstLine="616" w:firstLineChars="200"/>
        <w:textAlignment w:val="auto"/>
        <w:rPr>
          <w:rFonts w:hint="default" w:ascii="Times New Roman" w:hAnsi="Times New Roman" w:eastAsia="方正仿宋_GBK" w:cs="Times New Roman"/>
          <w:b/>
          <w:spacing w:val="-6"/>
          <w:sz w:val="32"/>
          <w:szCs w:val="32"/>
          <w:highlight w:val="none"/>
          <w:lang w:val="en-US" w:eastAsia="zh-CN"/>
        </w:rPr>
      </w:pPr>
      <w:r>
        <w:rPr>
          <w:rFonts w:hint="eastAsia" w:ascii="方正楷体_GBK" w:hAnsi="方正楷体_GBK" w:eastAsia="方正楷体_GBK" w:cs="方正楷体_GBK"/>
          <w:b/>
          <w:bCs w:val="0"/>
          <w:spacing w:val="-6"/>
          <w:sz w:val="32"/>
          <w:szCs w:val="32"/>
          <w:highlight w:val="none"/>
          <w:lang w:eastAsia="zh-CN"/>
        </w:rPr>
        <w:t>（二）</w:t>
      </w:r>
      <w:r>
        <w:rPr>
          <w:rFonts w:hint="eastAsia" w:ascii="方正楷体_GBK" w:hAnsi="方正楷体_GBK" w:eastAsia="方正楷体_GBK" w:cs="方正楷体_GBK"/>
          <w:b/>
          <w:bCs w:val="0"/>
          <w:spacing w:val="-6"/>
          <w:sz w:val="32"/>
          <w:szCs w:val="32"/>
          <w:highlight w:val="none"/>
          <w:lang w:val="en-US" w:eastAsia="zh-CN"/>
        </w:rPr>
        <w:t>“三保”预算情况</w:t>
      </w:r>
    </w:p>
    <w:p>
      <w:pPr>
        <w:keepNext w:val="0"/>
        <w:keepLines w:val="0"/>
        <w:pageBreakBefore w:val="0"/>
        <w:widowControl w:val="0"/>
        <w:kinsoku/>
        <w:wordWrap/>
        <w:overflowPunct/>
        <w:topLinePunct w:val="0"/>
        <w:autoSpaceDE/>
        <w:autoSpaceDN/>
        <w:bidi w:val="0"/>
        <w:adjustRightInd w:val="0"/>
        <w:snapToGrid w:val="0"/>
        <w:spacing w:beforeAutospacing="0" w:afterAutospacing="0" w:line="600" w:lineRule="exact"/>
        <w:ind w:firstLine="640" w:firstLineChars="200"/>
        <w:jc w:val="both"/>
        <w:textAlignment w:val="auto"/>
        <w:rPr>
          <w:rFonts w:hint="default" w:ascii="Times New Roman" w:hAnsi="Times New Roman" w:eastAsia="方正仿宋_GBK" w:cs="Times New Roman"/>
          <w:b/>
          <w:bCs w:val="0"/>
          <w:color w:val="auto"/>
          <w:sz w:val="30"/>
          <w:szCs w:val="30"/>
          <w:highlight w:val="none"/>
          <w:lang w:val="en-US" w:eastAsia="zh-CN"/>
        </w:rPr>
      </w:pPr>
      <w:bookmarkStart w:id="2" w:name="OLE_LINK2"/>
      <w:r>
        <w:rPr>
          <w:rFonts w:hint="eastAsia" w:ascii="方正仿宋简体" w:hAnsi="方正仿宋简体" w:eastAsia="方正仿宋简体" w:cs="方正仿宋简体"/>
          <w:b w:val="0"/>
          <w:bCs w:val="0"/>
          <w:color w:val="auto"/>
          <w:sz w:val="32"/>
          <w:szCs w:val="32"/>
          <w:highlight w:val="none"/>
          <w:lang w:eastAsia="zh-CN"/>
        </w:rPr>
        <w:t>可用于“三保”财力</w:t>
      </w:r>
      <w:r>
        <w:rPr>
          <w:rFonts w:hint="eastAsia" w:ascii="方正仿宋简体" w:hAnsi="方正仿宋简体" w:eastAsia="方正仿宋简体" w:cs="方正仿宋简体"/>
          <w:b w:val="0"/>
          <w:bCs w:val="0"/>
          <w:color w:val="auto"/>
          <w:sz w:val="32"/>
          <w:szCs w:val="32"/>
          <w:highlight w:val="none"/>
          <w:lang w:val="en-US" w:eastAsia="zh-CN"/>
        </w:rPr>
        <w:t>206273</w:t>
      </w:r>
      <w:r>
        <w:rPr>
          <w:rFonts w:hint="eastAsia" w:ascii="方正仿宋简体" w:hAnsi="方正仿宋简体" w:eastAsia="方正仿宋简体" w:cs="方正仿宋简体"/>
          <w:b w:val="0"/>
          <w:bCs w:val="0"/>
          <w:color w:val="auto"/>
          <w:sz w:val="32"/>
          <w:szCs w:val="32"/>
          <w:highlight w:val="none"/>
          <w:lang w:eastAsia="zh-CN"/>
        </w:rPr>
        <w:t>万元，其中：202</w:t>
      </w:r>
      <w:r>
        <w:rPr>
          <w:rFonts w:hint="eastAsia" w:ascii="方正仿宋简体" w:hAnsi="方正仿宋简体" w:eastAsia="方正仿宋简体" w:cs="方正仿宋简体"/>
          <w:b w:val="0"/>
          <w:bCs w:val="0"/>
          <w:color w:val="auto"/>
          <w:sz w:val="32"/>
          <w:szCs w:val="32"/>
          <w:highlight w:val="none"/>
          <w:lang w:val="en-US" w:eastAsia="zh-CN"/>
        </w:rPr>
        <w:t>6</w:t>
      </w:r>
      <w:r>
        <w:rPr>
          <w:rFonts w:hint="eastAsia" w:ascii="方正仿宋简体" w:hAnsi="方正仿宋简体" w:eastAsia="方正仿宋简体" w:cs="方正仿宋简体"/>
          <w:b w:val="0"/>
          <w:bCs w:val="0"/>
          <w:color w:val="auto"/>
          <w:sz w:val="32"/>
          <w:szCs w:val="32"/>
          <w:highlight w:val="none"/>
          <w:lang w:eastAsia="zh-CN"/>
        </w:rPr>
        <w:t>年预算收入</w:t>
      </w:r>
      <w:r>
        <w:rPr>
          <w:rFonts w:hint="eastAsia" w:ascii="方正仿宋简体" w:hAnsi="方正仿宋简体" w:eastAsia="方正仿宋简体" w:cs="方正仿宋简体"/>
          <w:b w:val="0"/>
          <w:bCs w:val="0"/>
          <w:color w:val="auto"/>
          <w:sz w:val="32"/>
          <w:szCs w:val="32"/>
          <w:highlight w:val="none"/>
          <w:lang w:val="en-US" w:eastAsia="zh-CN"/>
        </w:rPr>
        <w:t>33076</w:t>
      </w:r>
      <w:r>
        <w:rPr>
          <w:rFonts w:hint="eastAsia" w:ascii="方正仿宋简体" w:hAnsi="方正仿宋简体" w:eastAsia="方正仿宋简体" w:cs="方正仿宋简体"/>
          <w:b w:val="0"/>
          <w:bCs w:val="0"/>
          <w:color w:val="auto"/>
          <w:sz w:val="32"/>
          <w:szCs w:val="32"/>
          <w:highlight w:val="none"/>
          <w:lang w:eastAsia="zh-CN"/>
        </w:rPr>
        <w:t>万元+上级财力性补助收入</w:t>
      </w:r>
      <w:r>
        <w:rPr>
          <w:rFonts w:hint="eastAsia" w:ascii="方正仿宋简体" w:hAnsi="方正仿宋简体" w:eastAsia="方正仿宋简体" w:cs="方正仿宋简体"/>
          <w:b w:val="0"/>
          <w:bCs w:val="0"/>
          <w:color w:val="auto"/>
          <w:sz w:val="32"/>
          <w:szCs w:val="32"/>
          <w:highlight w:val="none"/>
          <w:lang w:val="en-US" w:eastAsia="zh-CN"/>
        </w:rPr>
        <w:t>136323</w:t>
      </w:r>
      <w:r>
        <w:rPr>
          <w:rFonts w:hint="eastAsia" w:ascii="方正仿宋简体" w:hAnsi="方正仿宋简体" w:eastAsia="方正仿宋简体" w:cs="方正仿宋简体"/>
          <w:b w:val="0"/>
          <w:bCs w:val="0"/>
          <w:color w:val="auto"/>
          <w:sz w:val="32"/>
          <w:szCs w:val="32"/>
          <w:highlight w:val="none"/>
          <w:lang w:eastAsia="zh-CN"/>
        </w:rPr>
        <w:t>万元+政府性基金调入收入</w:t>
      </w:r>
      <w:r>
        <w:rPr>
          <w:rFonts w:hint="eastAsia" w:ascii="方正仿宋简体" w:hAnsi="方正仿宋简体" w:eastAsia="方正仿宋简体" w:cs="方正仿宋简体"/>
          <w:b w:val="0"/>
          <w:bCs w:val="0"/>
          <w:color w:val="auto"/>
          <w:sz w:val="32"/>
          <w:szCs w:val="32"/>
          <w:highlight w:val="none"/>
          <w:lang w:val="en-US" w:eastAsia="zh-CN"/>
        </w:rPr>
        <w:t>9380万元+</w:t>
      </w:r>
      <w:r>
        <w:rPr>
          <w:rFonts w:hint="eastAsia" w:ascii="方正仿宋简体" w:hAnsi="方正仿宋简体" w:eastAsia="方正仿宋简体" w:cs="方正仿宋简体"/>
          <w:b w:val="0"/>
          <w:bCs w:val="0"/>
          <w:color w:val="auto"/>
          <w:sz w:val="32"/>
          <w:szCs w:val="32"/>
          <w:highlight w:val="none"/>
          <w:lang w:eastAsia="zh-CN"/>
        </w:rPr>
        <w:t>国有资本经营预算收入调入公共财政</w:t>
      </w:r>
      <w:r>
        <w:rPr>
          <w:rFonts w:hint="eastAsia" w:ascii="方正仿宋简体" w:hAnsi="方正仿宋简体" w:eastAsia="方正仿宋简体" w:cs="方正仿宋简体"/>
          <w:b w:val="0"/>
          <w:bCs w:val="0"/>
          <w:color w:val="auto"/>
          <w:sz w:val="32"/>
          <w:szCs w:val="32"/>
          <w:highlight w:val="none"/>
          <w:lang w:val="en-US" w:eastAsia="zh-CN"/>
        </w:rPr>
        <w:t>400</w:t>
      </w:r>
      <w:r>
        <w:rPr>
          <w:rFonts w:hint="eastAsia" w:ascii="方正仿宋简体" w:hAnsi="方正仿宋简体" w:eastAsia="方正仿宋简体" w:cs="方正仿宋简体"/>
          <w:b w:val="0"/>
          <w:bCs w:val="0"/>
          <w:color w:val="auto"/>
          <w:sz w:val="32"/>
          <w:szCs w:val="32"/>
          <w:highlight w:val="none"/>
          <w:lang w:eastAsia="zh-CN"/>
        </w:rPr>
        <w:t>万元+动用预算稳定调节基金</w:t>
      </w:r>
      <w:r>
        <w:rPr>
          <w:rFonts w:hint="eastAsia" w:ascii="方正仿宋简体" w:hAnsi="方正仿宋简体" w:eastAsia="方正仿宋简体" w:cs="方正仿宋简体"/>
          <w:b w:val="0"/>
          <w:bCs w:val="0"/>
          <w:color w:val="auto"/>
          <w:sz w:val="32"/>
          <w:szCs w:val="32"/>
          <w:highlight w:val="none"/>
          <w:lang w:val="en-US" w:eastAsia="zh-CN"/>
        </w:rPr>
        <w:t>2073</w:t>
      </w:r>
      <w:r>
        <w:rPr>
          <w:rFonts w:hint="eastAsia" w:ascii="方正仿宋简体" w:hAnsi="方正仿宋简体" w:eastAsia="方正仿宋简体" w:cs="方正仿宋简体"/>
          <w:b w:val="0"/>
          <w:bCs w:val="0"/>
          <w:color w:val="auto"/>
          <w:sz w:val="32"/>
          <w:szCs w:val="32"/>
          <w:highlight w:val="none"/>
          <w:lang w:eastAsia="zh-CN"/>
        </w:rPr>
        <w:t>万元</w:t>
      </w:r>
      <w:r>
        <w:rPr>
          <w:rFonts w:hint="eastAsia" w:ascii="方正仿宋简体" w:hAnsi="方正仿宋简体" w:eastAsia="方正仿宋简体" w:cs="方正仿宋简体"/>
          <w:b w:val="0"/>
          <w:bCs w:val="0"/>
          <w:color w:val="auto"/>
          <w:sz w:val="32"/>
          <w:szCs w:val="32"/>
          <w:highlight w:val="none"/>
          <w:lang w:val="en-US" w:eastAsia="zh-CN"/>
        </w:rPr>
        <w:t>+上年结余25617万元-上解支出596万元</w:t>
      </w:r>
      <w:r>
        <w:rPr>
          <w:rFonts w:hint="eastAsia" w:ascii="方正仿宋简体" w:hAnsi="方正仿宋简体" w:eastAsia="方正仿宋简体" w:cs="方正仿宋简体"/>
          <w:b w:val="0"/>
          <w:b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620" w:lineRule="exact"/>
        <w:ind w:firstLine="602" w:firstLineChars="200"/>
        <w:jc w:val="both"/>
        <w:textAlignment w:val="auto"/>
        <w:rPr>
          <w:rFonts w:hint="default" w:ascii="Times New Roman" w:hAnsi="Times New Roman" w:eastAsia="方正仿宋_GBK" w:cs="Times New Roman"/>
          <w:b/>
          <w:bCs w:val="0"/>
          <w:color w:val="auto"/>
          <w:sz w:val="30"/>
          <w:szCs w:val="30"/>
          <w:highlight w:val="none"/>
          <w:lang w:val="en-US" w:eastAsia="zh-CN"/>
        </w:rPr>
      </w:pPr>
      <w:r>
        <w:rPr>
          <w:rFonts w:hint="default" w:ascii="Times New Roman" w:hAnsi="Times New Roman" w:eastAsia="方正仿宋_GBK" w:cs="Times New Roman"/>
          <w:b/>
          <w:bCs w:val="0"/>
          <w:color w:val="auto"/>
          <w:sz w:val="30"/>
          <w:szCs w:val="30"/>
          <w:highlight w:val="none"/>
          <w:lang w:val="en-US" w:eastAsia="zh-CN"/>
        </w:rPr>
        <w:t>“三保”预算支出</w:t>
      </w:r>
      <w:r>
        <w:rPr>
          <w:rFonts w:hint="eastAsia" w:eastAsia="方正仿宋_GBK" w:cs="Times New Roman"/>
          <w:b/>
          <w:bCs w:val="0"/>
          <w:color w:val="auto"/>
          <w:sz w:val="30"/>
          <w:szCs w:val="30"/>
          <w:highlight w:val="none"/>
          <w:lang w:val="en-US" w:eastAsia="zh-CN"/>
        </w:rPr>
        <w:t>195787</w:t>
      </w:r>
      <w:r>
        <w:rPr>
          <w:rFonts w:hint="default" w:ascii="Times New Roman" w:hAnsi="Times New Roman" w:eastAsia="方正仿宋_GBK" w:cs="Times New Roman"/>
          <w:b/>
          <w:bCs w:val="0"/>
          <w:color w:val="auto"/>
          <w:sz w:val="30"/>
          <w:szCs w:val="30"/>
          <w:highlight w:val="none"/>
          <w:lang w:val="en-US" w:eastAsia="zh-CN"/>
        </w:rPr>
        <w:t>万元，其中：</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1.保工资支出</w:t>
      </w:r>
      <w:r>
        <w:rPr>
          <w:rFonts w:hint="eastAsia" w:eastAsia="方正仿宋_GBK" w:cs="Times New Roman"/>
          <w:b/>
          <w:bCs/>
          <w:sz w:val="32"/>
          <w:szCs w:val="32"/>
          <w:highlight w:val="none"/>
          <w:lang w:val="en-US" w:eastAsia="zh-CN"/>
        </w:rPr>
        <w:t>131654</w:t>
      </w:r>
      <w:r>
        <w:rPr>
          <w:rFonts w:hint="default" w:ascii="Times New Roman" w:hAnsi="Times New Roman" w:eastAsia="方正仿宋_GBK" w:cs="Times New Roman"/>
          <w:b/>
          <w:bCs/>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（1）在职基本工资77</w:t>
      </w:r>
      <w:r>
        <w:rPr>
          <w:rFonts w:hint="eastAsia" w:eastAsia="方正仿宋_GBK" w:cs="Times New Roman"/>
          <w:b w:val="0"/>
          <w:bCs/>
          <w:color w:val="auto"/>
          <w:sz w:val="32"/>
          <w:szCs w:val="32"/>
          <w:highlight w:val="none"/>
          <w:lang w:val="en-US" w:eastAsia="zh-CN"/>
        </w:rPr>
        <w:t>96</w:t>
      </w:r>
      <w:r>
        <w:rPr>
          <w:rFonts w:hint="default" w:ascii="Times New Roman" w:hAnsi="Times New Roman" w:eastAsia="方正仿宋_GBK" w:cs="Times New Roman"/>
          <w:b w:val="0"/>
          <w:bCs/>
          <w:color w:val="auto"/>
          <w:sz w:val="32"/>
          <w:szCs w:val="32"/>
          <w:highlight w:val="none"/>
          <w:lang w:val="en-US" w:eastAsia="zh-CN"/>
        </w:rPr>
        <w:t>人，年需求数</w:t>
      </w:r>
      <w:r>
        <w:rPr>
          <w:rFonts w:hint="eastAsia" w:eastAsia="方正仿宋_GBK" w:cs="Times New Roman"/>
          <w:b w:val="0"/>
          <w:bCs/>
          <w:color w:val="auto"/>
          <w:sz w:val="32"/>
          <w:szCs w:val="32"/>
          <w:highlight w:val="none"/>
          <w:lang w:val="en-US" w:eastAsia="zh-CN"/>
        </w:rPr>
        <w:t>38215</w:t>
      </w:r>
      <w:r>
        <w:rPr>
          <w:rFonts w:hint="default" w:ascii="Times New Roman" w:hAnsi="Times New Roman" w:eastAsia="方正仿宋_GBK" w:cs="Times New Roman"/>
          <w:b w:val="0"/>
          <w:bCs/>
          <w:color w:val="auto"/>
          <w:sz w:val="32"/>
          <w:szCs w:val="32"/>
          <w:highlight w:val="none"/>
          <w:lang w:val="en-US" w:eastAsia="zh-CN"/>
        </w:rPr>
        <w:t>万元，预算安排数</w:t>
      </w:r>
      <w:r>
        <w:rPr>
          <w:rFonts w:hint="eastAsia" w:eastAsia="方正仿宋_GBK" w:cs="Times New Roman"/>
          <w:b w:val="0"/>
          <w:bCs/>
          <w:color w:val="auto"/>
          <w:sz w:val="32"/>
          <w:szCs w:val="32"/>
          <w:highlight w:val="none"/>
          <w:lang w:val="en-US" w:eastAsia="zh-CN"/>
        </w:rPr>
        <w:t>38215</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（2）公务员年终一次性奖金19</w:t>
      </w:r>
      <w:r>
        <w:rPr>
          <w:rFonts w:hint="eastAsia" w:eastAsia="方正仿宋_GBK" w:cs="Times New Roman"/>
          <w:b w:val="0"/>
          <w:bCs/>
          <w:color w:val="auto"/>
          <w:sz w:val="32"/>
          <w:szCs w:val="32"/>
          <w:highlight w:val="none"/>
          <w:lang w:val="en-US" w:eastAsia="zh-CN"/>
        </w:rPr>
        <w:t>67</w:t>
      </w:r>
      <w:r>
        <w:rPr>
          <w:rFonts w:hint="default" w:ascii="Times New Roman" w:hAnsi="Times New Roman" w:eastAsia="方正仿宋_GBK" w:cs="Times New Roman"/>
          <w:b w:val="0"/>
          <w:bCs/>
          <w:color w:val="auto"/>
          <w:sz w:val="32"/>
          <w:szCs w:val="32"/>
          <w:highlight w:val="none"/>
          <w:lang w:val="en-US" w:eastAsia="zh-CN"/>
        </w:rPr>
        <w:t>人，年需求数</w:t>
      </w:r>
      <w:r>
        <w:rPr>
          <w:rFonts w:hint="eastAsia" w:eastAsia="方正仿宋_GBK" w:cs="Times New Roman"/>
          <w:b w:val="0"/>
          <w:bCs/>
          <w:color w:val="auto"/>
          <w:sz w:val="32"/>
          <w:szCs w:val="32"/>
          <w:highlight w:val="none"/>
          <w:lang w:val="en-US" w:eastAsia="zh-CN"/>
        </w:rPr>
        <w:t>773</w:t>
      </w:r>
      <w:r>
        <w:rPr>
          <w:rFonts w:hint="default" w:ascii="Times New Roman" w:hAnsi="Times New Roman" w:eastAsia="方正仿宋_GBK" w:cs="Times New Roman"/>
          <w:b w:val="0"/>
          <w:bCs/>
          <w:color w:val="auto"/>
          <w:sz w:val="32"/>
          <w:szCs w:val="32"/>
          <w:highlight w:val="none"/>
          <w:lang w:val="en-US" w:eastAsia="zh-CN"/>
        </w:rPr>
        <w:t>万元，预算安排数</w:t>
      </w:r>
      <w:r>
        <w:rPr>
          <w:rFonts w:hint="eastAsia" w:eastAsia="方正仿宋_GBK" w:cs="Times New Roman"/>
          <w:b w:val="0"/>
          <w:bCs/>
          <w:color w:val="auto"/>
          <w:sz w:val="32"/>
          <w:szCs w:val="32"/>
          <w:highlight w:val="none"/>
          <w:lang w:val="en-US" w:eastAsia="zh-CN"/>
        </w:rPr>
        <w:t>773</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（3）公务员规范津贴补贴19</w:t>
      </w:r>
      <w:r>
        <w:rPr>
          <w:rFonts w:hint="eastAsia" w:eastAsia="方正仿宋_GBK" w:cs="Times New Roman"/>
          <w:b w:val="0"/>
          <w:bCs/>
          <w:color w:val="auto"/>
          <w:sz w:val="32"/>
          <w:szCs w:val="32"/>
          <w:highlight w:val="none"/>
          <w:lang w:val="en-US" w:eastAsia="zh-CN"/>
        </w:rPr>
        <w:t>67</w:t>
      </w:r>
      <w:r>
        <w:rPr>
          <w:rFonts w:hint="default" w:ascii="Times New Roman" w:hAnsi="Times New Roman" w:eastAsia="方正仿宋_GBK" w:cs="Times New Roman"/>
          <w:b w:val="0"/>
          <w:bCs/>
          <w:color w:val="auto"/>
          <w:sz w:val="32"/>
          <w:szCs w:val="32"/>
          <w:highlight w:val="none"/>
          <w:lang w:val="en-US" w:eastAsia="zh-CN"/>
        </w:rPr>
        <w:t>人，年需求数</w:t>
      </w:r>
      <w:r>
        <w:rPr>
          <w:rFonts w:hint="eastAsia" w:eastAsia="方正仿宋_GBK" w:cs="Times New Roman"/>
          <w:b w:val="0"/>
          <w:bCs/>
          <w:color w:val="auto"/>
          <w:sz w:val="32"/>
          <w:szCs w:val="32"/>
          <w:highlight w:val="none"/>
          <w:lang w:val="en-US" w:eastAsia="zh-CN"/>
        </w:rPr>
        <w:t>6926</w:t>
      </w:r>
      <w:r>
        <w:rPr>
          <w:rFonts w:hint="default" w:ascii="Times New Roman" w:hAnsi="Times New Roman" w:eastAsia="方正仿宋_GBK" w:cs="Times New Roman"/>
          <w:b w:val="0"/>
          <w:bCs/>
          <w:color w:val="auto"/>
          <w:sz w:val="32"/>
          <w:szCs w:val="32"/>
          <w:highlight w:val="none"/>
          <w:lang w:val="en-US" w:eastAsia="zh-CN"/>
        </w:rPr>
        <w:t>万元，预算安排数</w:t>
      </w:r>
      <w:r>
        <w:rPr>
          <w:rFonts w:hint="eastAsia" w:eastAsia="方正仿宋_GBK" w:cs="Times New Roman"/>
          <w:b w:val="0"/>
          <w:bCs/>
          <w:color w:val="auto"/>
          <w:sz w:val="32"/>
          <w:szCs w:val="32"/>
          <w:highlight w:val="none"/>
          <w:lang w:val="en-US" w:eastAsia="zh-CN"/>
        </w:rPr>
        <w:t>6926</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（4）公务员基础绩效奖19</w:t>
      </w:r>
      <w:r>
        <w:rPr>
          <w:rFonts w:hint="eastAsia" w:eastAsia="方正仿宋_GBK" w:cs="Times New Roman"/>
          <w:b w:val="0"/>
          <w:bCs/>
          <w:color w:val="auto"/>
          <w:sz w:val="32"/>
          <w:szCs w:val="32"/>
          <w:highlight w:val="none"/>
          <w:lang w:val="en-US" w:eastAsia="zh-CN"/>
        </w:rPr>
        <w:t>67</w:t>
      </w:r>
      <w:r>
        <w:rPr>
          <w:rFonts w:hint="default" w:ascii="Times New Roman" w:hAnsi="Times New Roman" w:eastAsia="方正仿宋_GBK" w:cs="Times New Roman"/>
          <w:b w:val="0"/>
          <w:bCs/>
          <w:color w:val="auto"/>
          <w:sz w:val="32"/>
          <w:szCs w:val="32"/>
          <w:highlight w:val="none"/>
          <w:lang w:val="en-US" w:eastAsia="zh-CN"/>
        </w:rPr>
        <w:t>人，年需求数</w:t>
      </w:r>
      <w:r>
        <w:rPr>
          <w:rFonts w:hint="eastAsia" w:eastAsia="方正仿宋_GBK" w:cs="Times New Roman"/>
          <w:b w:val="0"/>
          <w:bCs/>
          <w:color w:val="auto"/>
          <w:sz w:val="32"/>
          <w:szCs w:val="32"/>
          <w:highlight w:val="none"/>
          <w:lang w:val="en-US" w:eastAsia="zh-CN"/>
        </w:rPr>
        <w:t>3469</w:t>
      </w:r>
      <w:r>
        <w:rPr>
          <w:rFonts w:hint="default" w:ascii="Times New Roman" w:hAnsi="Times New Roman" w:eastAsia="方正仿宋_GBK" w:cs="Times New Roman"/>
          <w:b w:val="0"/>
          <w:bCs/>
          <w:color w:val="auto"/>
          <w:sz w:val="32"/>
          <w:szCs w:val="32"/>
          <w:highlight w:val="none"/>
          <w:lang w:val="en-US" w:eastAsia="zh-CN"/>
        </w:rPr>
        <w:t>万元，预算安排数</w:t>
      </w:r>
      <w:r>
        <w:rPr>
          <w:rFonts w:hint="eastAsia" w:eastAsia="方正仿宋_GBK" w:cs="Times New Roman"/>
          <w:b w:val="0"/>
          <w:bCs/>
          <w:color w:val="auto"/>
          <w:sz w:val="32"/>
          <w:szCs w:val="32"/>
          <w:highlight w:val="none"/>
          <w:lang w:val="en-US" w:eastAsia="zh-CN"/>
        </w:rPr>
        <w:t>3469</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（5）事业单位绩效工资5</w:t>
      </w:r>
      <w:r>
        <w:rPr>
          <w:rFonts w:hint="eastAsia" w:eastAsia="方正仿宋_GBK" w:cs="Times New Roman"/>
          <w:b w:val="0"/>
          <w:bCs/>
          <w:color w:val="auto"/>
          <w:sz w:val="32"/>
          <w:szCs w:val="32"/>
          <w:highlight w:val="none"/>
          <w:lang w:val="en-US" w:eastAsia="zh-CN"/>
        </w:rPr>
        <w:t>829</w:t>
      </w:r>
      <w:r>
        <w:rPr>
          <w:rFonts w:hint="default" w:ascii="Times New Roman" w:hAnsi="Times New Roman" w:eastAsia="方正仿宋_GBK" w:cs="Times New Roman"/>
          <w:b w:val="0"/>
          <w:bCs/>
          <w:color w:val="auto"/>
          <w:sz w:val="32"/>
          <w:szCs w:val="32"/>
          <w:highlight w:val="none"/>
          <w:lang w:val="en-US" w:eastAsia="zh-CN"/>
        </w:rPr>
        <w:t>人，年需求数</w:t>
      </w:r>
      <w:r>
        <w:rPr>
          <w:rFonts w:hint="eastAsia" w:eastAsia="方正仿宋_GBK" w:cs="Times New Roman"/>
          <w:b w:val="0"/>
          <w:bCs/>
          <w:color w:val="auto"/>
          <w:sz w:val="32"/>
          <w:szCs w:val="32"/>
          <w:highlight w:val="none"/>
          <w:lang w:val="en-US" w:eastAsia="zh-CN"/>
        </w:rPr>
        <w:t>31395</w:t>
      </w:r>
      <w:r>
        <w:rPr>
          <w:rFonts w:hint="default" w:ascii="Times New Roman" w:hAnsi="Times New Roman" w:eastAsia="方正仿宋_GBK" w:cs="Times New Roman"/>
          <w:b w:val="0"/>
          <w:bCs/>
          <w:color w:val="auto"/>
          <w:sz w:val="32"/>
          <w:szCs w:val="32"/>
          <w:highlight w:val="none"/>
          <w:lang w:val="en-US" w:eastAsia="zh-CN"/>
        </w:rPr>
        <w:t>万元，预算安排数</w:t>
      </w:r>
      <w:r>
        <w:rPr>
          <w:rFonts w:hint="eastAsia" w:eastAsia="方正仿宋_GBK" w:cs="Times New Roman"/>
          <w:b w:val="0"/>
          <w:bCs/>
          <w:color w:val="auto"/>
          <w:sz w:val="32"/>
          <w:szCs w:val="32"/>
          <w:highlight w:val="none"/>
          <w:lang w:val="en-US" w:eastAsia="zh-CN"/>
        </w:rPr>
        <w:t>31395</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（6）艰苦边远地区津贴</w:t>
      </w:r>
      <w:r>
        <w:rPr>
          <w:rFonts w:hint="eastAsia" w:eastAsia="方正仿宋_GBK" w:cs="Times New Roman"/>
          <w:b w:val="0"/>
          <w:bCs/>
          <w:color w:val="auto"/>
          <w:sz w:val="32"/>
          <w:szCs w:val="32"/>
          <w:highlight w:val="none"/>
          <w:lang w:val="en-US" w:eastAsia="zh-CN"/>
        </w:rPr>
        <w:t>7796</w:t>
      </w:r>
      <w:r>
        <w:rPr>
          <w:rFonts w:hint="default" w:ascii="Times New Roman" w:hAnsi="Times New Roman" w:eastAsia="方正仿宋_GBK" w:cs="Times New Roman"/>
          <w:b w:val="0"/>
          <w:bCs/>
          <w:color w:val="auto"/>
          <w:sz w:val="32"/>
          <w:szCs w:val="32"/>
          <w:highlight w:val="none"/>
          <w:lang w:val="en-US" w:eastAsia="zh-CN"/>
        </w:rPr>
        <w:t>人，年需求数</w:t>
      </w:r>
      <w:r>
        <w:rPr>
          <w:rFonts w:hint="eastAsia" w:eastAsia="方正仿宋_GBK" w:cs="Times New Roman"/>
          <w:b w:val="0"/>
          <w:bCs/>
          <w:color w:val="auto"/>
          <w:sz w:val="32"/>
          <w:szCs w:val="32"/>
          <w:highlight w:val="none"/>
          <w:lang w:val="en-US" w:eastAsia="zh-CN"/>
        </w:rPr>
        <w:t>11575</w:t>
      </w:r>
      <w:r>
        <w:rPr>
          <w:rFonts w:hint="default" w:ascii="Times New Roman" w:hAnsi="Times New Roman" w:eastAsia="方正仿宋_GBK" w:cs="Times New Roman"/>
          <w:b w:val="0"/>
          <w:bCs/>
          <w:color w:val="auto"/>
          <w:sz w:val="32"/>
          <w:szCs w:val="32"/>
          <w:highlight w:val="none"/>
          <w:lang w:val="en-US" w:eastAsia="zh-CN"/>
        </w:rPr>
        <w:t>万元，预算安排数</w:t>
      </w:r>
      <w:r>
        <w:rPr>
          <w:rFonts w:hint="eastAsia" w:eastAsia="方正仿宋_GBK" w:cs="Times New Roman"/>
          <w:b w:val="0"/>
          <w:bCs/>
          <w:color w:val="auto"/>
          <w:sz w:val="32"/>
          <w:szCs w:val="32"/>
          <w:highlight w:val="none"/>
          <w:lang w:val="en-US" w:eastAsia="zh-CN"/>
        </w:rPr>
        <w:t>11575</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（7）在职工资附加支出</w:t>
      </w:r>
      <w:r>
        <w:rPr>
          <w:rFonts w:hint="eastAsia" w:eastAsia="方正仿宋_GBK" w:cs="Times New Roman"/>
          <w:b w:val="0"/>
          <w:bCs/>
          <w:color w:val="auto"/>
          <w:sz w:val="32"/>
          <w:szCs w:val="32"/>
          <w:highlight w:val="none"/>
          <w:lang w:val="en-US" w:eastAsia="zh-CN"/>
        </w:rPr>
        <w:t>7796</w:t>
      </w:r>
      <w:r>
        <w:rPr>
          <w:rFonts w:hint="default" w:ascii="Times New Roman" w:hAnsi="Times New Roman" w:eastAsia="方正仿宋_GBK" w:cs="Times New Roman"/>
          <w:b w:val="0"/>
          <w:bCs/>
          <w:color w:val="auto"/>
          <w:sz w:val="32"/>
          <w:szCs w:val="32"/>
          <w:highlight w:val="none"/>
          <w:lang w:val="en-US" w:eastAsia="zh-CN"/>
        </w:rPr>
        <w:t>人，年需求数</w:t>
      </w:r>
      <w:r>
        <w:rPr>
          <w:rFonts w:hint="eastAsia" w:eastAsia="方正仿宋_GBK" w:cs="Times New Roman"/>
          <w:b w:val="0"/>
          <w:bCs/>
          <w:color w:val="auto"/>
          <w:sz w:val="32"/>
          <w:szCs w:val="32"/>
          <w:highlight w:val="none"/>
          <w:lang w:val="en-US" w:eastAsia="zh-CN"/>
        </w:rPr>
        <w:t>36477</w:t>
      </w:r>
      <w:r>
        <w:rPr>
          <w:rFonts w:hint="default" w:ascii="Times New Roman" w:hAnsi="Times New Roman" w:eastAsia="方正仿宋_GBK" w:cs="Times New Roman"/>
          <w:b w:val="0"/>
          <w:bCs/>
          <w:color w:val="auto"/>
          <w:sz w:val="32"/>
          <w:szCs w:val="32"/>
          <w:highlight w:val="none"/>
          <w:lang w:val="en-US" w:eastAsia="zh-CN"/>
        </w:rPr>
        <w:t>万元，算安排数</w:t>
      </w:r>
      <w:r>
        <w:rPr>
          <w:rFonts w:hint="eastAsia" w:eastAsia="方正仿宋_GBK" w:cs="Times New Roman"/>
          <w:b w:val="0"/>
          <w:bCs/>
          <w:color w:val="auto"/>
          <w:sz w:val="32"/>
          <w:szCs w:val="32"/>
          <w:highlight w:val="none"/>
          <w:lang w:val="en-US" w:eastAsia="zh-CN"/>
        </w:rPr>
        <w:t>36477</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（8）岗位津贴</w:t>
      </w:r>
      <w:r>
        <w:rPr>
          <w:rFonts w:hint="eastAsia" w:eastAsia="方正仿宋_GBK" w:cs="Times New Roman"/>
          <w:b w:val="0"/>
          <w:bCs/>
          <w:color w:val="auto"/>
          <w:sz w:val="32"/>
          <w:szCs w:val="32"/>
          <w:highlight w:val="none"/>
          <w:lang w:val="en-US" w:eastAsia="zh-CN"/>
        </w:rPr>
        <w:t>3885</w:t>
      </w:r>
      <w:r>
        <w:rPr>
          <w:rFonts w:hint="default" w:ascii="Times New Roman" w:hAnsi="Times New Roman" w:eastAsia="方正仿宋_GBK" w:cs="Times New Roman"/>
          <w:b w:val="0"/>
          <w:bCs/>
          <w:color w:val="auto"/>
          <w:sz w:val="32"/>
          <w:szCs w:val="32"/>
          <w:highlight w:val="none"/>
          <w:lang w:val="en-US" w:eastAsia="zh-CN"/>
        </w:rPr>
        <w:t>人，年需求数</w:t>
      </w:r>
      <w:r>
        <w:rPr>
          <w:rFonts w:hint="eastAsia" w:eastAsia="方正仿宋_GBK" w:cs="Times New Roman"/>
          <w:b w:val="0"/>
          <w:bCs/>
          <w:color w:val="auto"/>
          <w:sz w:val="32"/>
          <w:szCs w:val="32"/>
          <w:highlight w:val="none"/>
          <w:lang w:val="en-US" w:eastAsia="zh-CN"/>
        </w:rPr>
        <w:t>2825</w:t>
      </w:r>
      <w:r>
        <w:rPr>
          <w:rFonts w:hint="default" w:ascii="Times New Roman" w:hAnsi="Times New Roman" w:eastAsia="方正仿宋_GBK" w:cs="Times New Roman"/>
          <w:b w:val="0"/>
          <w:bCs/>
          <w:color w:val="auto"/>
          <w:sz w:val="32"/>
          <w:szCs w:val="32"/>
          <w:highlight w:val="none"/>
          <w:lang w:val="en-US" w:eastAsia="zh-CN"/>
        </w:rPr>
        <w:t>万元，预算安排数</w:t>
      </w:r>
      <w:r>
        <w:rPr>
          <w:rFonts w:hint="eastAsia" w:eastAsia="方正仿宋_GBK" w:cs="Times New Roman"/>
          <w:b w:val="0"/>
          <w:bCs/>
          <w:color w:val="auto"/>
          <w:sz w:val="32"/>
          <w:szCs w:val="32"/>
          <w:highlight w:val="none"/>
          <w:lang w:val="en-US" w:eastAsia="zh-CN"/>
        </w:rPr>
        <w:t>2825</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（9）离休人员经费0人，年需求数0万元，预算安排数0万元；</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2</w:t>
      </w:r>
      <w:r>
        <w:rPr>
          <w:rFonts w:hint="eastAsia" w:ascii="Times New Roman" w:hAnsi="Times New Roman" w:eastAsia="方正仿宋_GBK" w:cs="Times New Roman"/>
          <w:b/>
          <w:bCs/>
          <w:sz w:val="32"/>
          <w:szCs w:val="32"/>
          <w:highlight w:val="none"/>
          <w:lang w:val="en-US" w:eastAsia="zh-CN"/>
        </w:rPr>
        <w:t>.</w:t>
      </w:r>
      <w:r>
        <w:rPr>
          <w:rFonts w:hint="default" w:ascii="Times New Roman" w:hAnsi="Times New Roman" w:eastAsia="方正仿宋_GBK" w:cs="Times New Roman"/>
          <w:b/>
          <w:bCs/>
          <w:sz w:val="32"/>
          <w:szCs w:val="32"/>
          <w:highlight w:val="none"/>
          <w:lang w:val="en-US" w:eastAsia="zh-CN"/>
        </w:rPr>
        <w:t>“保运转”支出</w:t>
      </w:r>
      <w:r>
        <w:rPr>
          <w:rFonts w:hint="eastAsia" w:eastAsia="方正仿宋_GBK" w:cs="Times New Roman"/>
          <w:b/>
          <w:bCs/>
          <w:sz w:val="32"/>
          <w:szCs w:val="32"/>
          <w:highlight w:val="none"/>
          <w:lang w:val="en-US" w:eastAsia="zh-CN"/>
        </w:rPr>
        <w:t>1959</w:t>
      </w:r>
      <w:r>
        <w:rPr>
          <w:rFonts w:hint="default" w:ascii="Times New Roman" w:hAnsi="Times New Roman" w:eastAsia="方正仿宋_GBK" w:cs="Times New Roman"/>
          <w:b/>
          <w:bCs/>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val="0"/>
        <w:snapToGrid w:val="0"/>
        <w:spacing w:beforeAutospacing="0" w:afterAutospacing="0" w:line="620" w:lineRule="exact"/>
        <w:ind w:firstLine="640" w:firstLineChars="200"/>
        <w:jc w:val="both"/>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（1）行政部门</w:t>
      </w:r>
      <w:r>
        <w:rPr>
          <w:rFonts w:hint="eastAsia" w:eastAsia="方正仿宋_GBK" w:cs="Times New Roman"/>
          <w:b w:val="0"/>
          <w:bCs/>
          <w:color w:val="auto"/>
          <w:sz w:val="32"/>
          <w:szCs w:val="32"/>
          <w:highlight w:val="none"/>
          <w:lang w:val="en-US" w:eastAsia="zh-CN"/>
        </w:rPr>
        <w:t>2440</w:t>
      </w:r>
      <w:r>
        <w:rPr>
          <w:rFonts w:hint="default" w:ascii="Times New Roman" w:hAnsi="Times New Roman" w:eastAsia="方正仿宋_GBK" w:cs="Times New Roman"/>
          <w:b w:val="0"/>
          <w:bCs/>
          <w:color w:val="auto"/>
          <w:sz w:val="32"/>
          <w:szCs w:val="32"/>
          <w:highlight w:val="none"/>
          <w:lang w:val="en-US" w:eastAsia="zh-CN"/>
        </w:rPr>
        <w:t>人，年需求数</w:t>
      </w:r>
      <w:r>
        <w:rPr>
          <w:rFonts w:hint="eastAsia" w:eastAsia="方正仿宋_GBK" w:cs="Times New Roman"/>
          <w:b w:val="0"/>
          <w:bCs/>
          <w:color w:val="auto"/>
          <w:sz w:val="32"/>
          <w:szCs w:val="32"/>
          <w:highlight w:val="none"/>
          <w:lang w:val="en-US" w:eastAsia="zh-CN"/>
        </w:rPr>
        <w:t>1259</w:t>
      </w:r>
      <w:r>
        <w:rPr>
          <w:rFonts w:hint="default" w:ascii="Times New Roman" w:hAnsi="Times New Roman" w:eastAsia="方正仿宋_GBK" w:cs="Times New Roman"/>
          <w:b w:val="0"/>
          <w:bCs/>
          <w:color w:val="auto"/>
          <w:sz w:val="32"/>
          <w:szCs w:val="32"/>
          <w:highlight w:val="none"/>
          <w:lang w:val="en-US" w:eastAsia="zh-CN"/>
        </w:rPr>
        <w:t>万元，年安排数</w:t>
      </w:r>
      <w:r>
        <w:rPr>
          <w:rFonts w:hint="eastAsia" w:eastAsia="方正仿宋_GBK" w:cs="Times New Roman"/>
          <w:b w:val="0"/>
          <w:bCs/>
          <w:color w:val="auto"/>
          <w:sz w:val="32"/>
          <w:szCs w:val="32"/>
          <w:highlight w:val="none"/>
          <w:lang w:val="en-US" w:eastAsia="zh-CN"/>
        </w:rPr>
        <w:t>1259</w:t>
      </w:r>
      <w:r>
        <w:rPr>
          <w:rFonts w:hint="default"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val="0"/>
        <w:snapToGrid w:val="0"/>
        <w:spacing w:beforeAutospacing="0" w:afterAutospacing="0" w:line="620" w:lineRule="exact"/>
        <w:ind w:firstLine="640" w:firstLineChars="200"/>
        <w:jc w:val="both"/>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（2）公检法部门4</w:t>
      </w:r>
      <w:r>
        <w:rPr>
          <w:rFonts w:hint="eastAsia" w:eastAsia="方正仿宋_GBK" w:cs="Times New Roman"/>
          <w:b w:val="0"/>
          <w:bCs/>
          <w:color w:val="auto"/>
          <w:sz w:val="32"/>
          <w:szCs w:val="32"/>
          <w:highlight w:val="none"/>
          <w:lang w:val="en-US" w:eastAsia="zh-CN"/>
        </w:rPr>
        <w:t>40</w:t>
      </w:r>
      <w:r>
        <w:rPr>
          <w:rFonts w:hint="default" w:ascii="Times New Roman" w:hAnsi="Times New Roman" w:eastAsia="方正仿宋_GBK" w:cs="Times New Roman"/>
          <w:b w:val="0"/>
          <w:bCs/>
          <w:color w:val="auto"/>
          <w:sz w:val="32"/>
          <w:szCs w:val="32"/>
          <w:highlight w:val="none"/>
          <w:lang w:val="en-US" w:eastAsia="zh-CN"/>
        </w:rPr>
        <w:t>人，年需求数5</w:t>
      </w:r>
      <w:r>
        <w:rPr>
          <w:rFonts w:hint="eastAsia" w:eastAsia="方正仿宋_GBK" w:cs="Times New Roman"/>
          <w:b w:val="0"/>
          <w:bCs/>
          <w:color w:val="auto"/>
          <w:sz w:val="32"/>
          <w:szCs w:val="32"/>
          <w:highlight w:val="none"/>
          <w:lang w:val="en-US" w:eastAsia="zh-CN"/>
        </w:rPr>
        <w:t>19</w:t>
      </w:r>
      <w:r>
        <w:rPr>
          <w:rFonts w:hint="default" w:ascii="Times New Roman" w:hAnsi="Times New Roman" w:eastAsia="方正仿宋_GBK" w:cs="Times New Roman"/>
          <w:b w:val="0"/>
          <w:bCs/>
          <w:color w:val="auto"/>
          <w:sz w:val="32"/>
          <w:szCs w:val="32"/>
          <w:highlight w:val="none"/>
          <w:lang w:val="en-US" w:eastAsia="zh-CN"/>
        </w:rPr>
        <w:t>万元，年安排数5</w:t>
      </w:r>
      <w:r>
        <w:rPr>
          <w:rFonts w:hint="eastAsia" w:eastAsia="方正仿宋_GBK" w:cs="Times New Roman"/>
          <w:b w:val="0"/>
          <w:bCs/>
          <w:color w:val="auto"/>
          <w:sz w:val="32"/>
          <w:szCs w:val="32"/>
          <w:highlight w:val="none"/>
          <w:lang w:val="en-US" w:eastAsia="zh-CN"/>
        </w:rPr>
        <w:t>19</w:t>
      </w:r>
      <w:r>
        <w:rPr>
          <w:rFonts w:hint="default" w:ascii="Times New Roman" w:hAnsi="Times New Roman" w:eastAsia="方正仿宋_GBK" w:cs="Times New Roman"/>
          <w:b w:val="0"/>
          <w:bCs/>
          <w:color w:val="auto"/>
          <w:sz w:val="32"/>
          <w:szCs w:val="32"/>
          <w:highlight w:val="none"/>
          <w:lang w:val="en-US" w:eastAsia="zh-CN"/>
        </w:rPr>
        <w:t xml:space="preserve">万元； </w:t>
      </w:r>
    </w:p>
    <w:p>
      <w:pPr>
        <w:keepNext w:val="0"/>
        <w:keepLines w:val="0"/>
        <w:pageBreakBefore w:val="0"/>
        <w:widowControl w:val="0"/>
        <w:kinsoku/>
        <w:wordWrap/>
        <w:overflowPunct/>
        <w:topLinePunct w:val="0"/>
        <w:autoSpaceDE/>
        <w:autoSpaceDN/>
        <w:bidi w:val="0"/>
        <w:adjustRightInd w:val="0"/>
        <w:snapToGrid w:val="0"/>
        <w:spacing w:beforeAutospacing="0" w:afterAutospacing="0" w:line="620" w:lineRule="exact"/>
        <w:ind w:firstLine="640" w:firstLineChars="200"/>
        <w:jc w:val="both"/>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（3）其他部门</w:t>
      </w:r>
      <w:r>
        <w:rPr>
          <w:rFonts w:hint="eastAsia" w:eastAsia="方正仿宋_GBK" w:cs="Times New Roman"/>
          <w:b w:val="0"/>
          <w:bCs/>
          <w:color w:val="auto"/>
          <w:sz w:val="32"/>
          <w:szCs w:val="32"/>
          <w:highlight w:val="none"/>
          <w:lang w:val="en-US" w:eastAsia="zh-CN"/>
        </w:rPr>
        <w:t>236</w:t>
      </w:r>
      <w:r>
        <w:rPr>
          <w:rFonts w:hint="default" w:ascii="Times New Roman" w:hAnsi="Times New Roman" w:eastAsia="方正仿宋_GBK" w:cs="Times New Roman"/>
          <w:b w:val="0"/>
          <w:bCs/>
          <w:color w:val="auto"/>
          <w:sz w:val="32"/>
          <w:szCs w:val="32"/>
          <w:highlight w:val="none"/>
          <w:lang w:val="en-US" w:eastAsia="zh-CN"/>
        </w:rPr>
        <w:t>人，年需求数</w:t>
      </w:r>
      <w:r>
        <w:rPr>
          <w:rFonts w:hint="eastAsia" w:eastAsia="方正仿宋_GBK" w:cs="Times New Roman"/>
          <w:b w:val="0"/>
          <w:bCs/>
          <w:color w:val="auto"/>
          <w:sz w:val="32"/>
          <w:szCs w:val="32"/>
          <w:highlight w:val="none"/>
          <w:lang w:val="en-US" w:eastAsia="zh-CN"/>
        </w:rPr>
        <w:t>181</w:t>
      </w:r>
      <w:r>
        <w:rPr>
          <w:rFonts w:hint="default" w:ascii="Times New Roman" w:hAnsi="Times New Roman" w:eastAsia="方正仿宋_GBK" w:cs="Times New Roman"/>
          <w:b w:val="0"/>
          <w:bCs/>
          <w:color w:val="auto"/>
          <w:sz w:val="32"/>
          <w:szCs w:val="32"/>
          <w:highlight w:val="none"/>
          <w:lang w:val="en-US" w:eastAsia="zh-CN"/>
        </w:rPr>
        <w:t>万元，年安排数</w:t>
      </w:r>
      <w:r>
        <w:rPr>
          <w:rFonts w:hint="eastAsia" w:eastAsia="方正仿宋_GBK" w:cs="Times New Roman"/>
          <w:b w:val="0"/>
          <w:bCs/>
          <w:color w:val="auto"/>
          <w:sz w:val="32"/>
          <w:szCs w:val="32"/>
          <w:highlight w:val="none"/>
          <w:lang w:val="en-US" w:eastAsia="zh-CN"/>
        </w:rPr>
        <w:t>181</w:t>
      </w:r>
      <w:r>
        <w:rPr>
          <w:rFonts w:hint="default" w:ascii="Times New Roman" w:hAnsi="Times New Roman" w:eastAsia="方正仿宋_GBK" w:cs="Times New Roman"/>
          <w:b w:val="0"/>
          <w:bCs/>
          <w:color w:val="auto"/>
          <w:sz w:val="32"/>
          <w:szCs w:val="32"/>
          <w:highlight w:val="none"/>
          <w:lang w:val="en-US" w:eastAsia="zh-CN"/>
        </w:rPr>
        <w:t>万元；</w:t>
      </w:r>
    </w:p>
    <w:bookmarkEnd w:id="2"/>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3</w:t>
      </w:r>
      <w:r>
        <w:rPr>
          <w:rFonts w:hint="eastAsia" w:ascii="Times New Roman" w:hAnsi="Times New Roman" w:eastAsia="方正仿宋_GBK" w:cs="Times New Roman"/>
          <w:b/>
          <w:bCs/>
          <w:sz w:val="32"/>
          <w:szCs w:val="32"/>
          <w:highlight w:val="none"/>
          <w:lang w:val="en-US" w:eastAsia="zh-CN"/>
        </w:rPr>
        <w:t>.</w:t>
      </w:r>
      <w:r>
        <w:rPr>
          <w:rFonts w:hint="default" w:ascii="Times New Roman" w:hAnsi="Times New Roman" w:eastAsia="方正仿宋_GBK" w:cs="Times New Roman"/>
          <w:b/>
          <w:bCs/>
          <w:sz w:val="32"/>
          <w:szCs w:val="32"/>
          <w:highlight w:val="none"/>
          <w:lang w:val="en-US" w:eastAsia="zh-CN"/>
        </w:rPr>
        <w:t>“保民生”支出预算</w:t>
      </w:r>
      <w:r>
        <w:rPr>
          <w:rFonts w:hint="eastAsia" w:eastAsia="方正仿宋_GBK" w:cs="Times New Roman"/>
          <w:b/>
          <w:bCs/>
          <w:sz w:val="32"/>
          <w:szCs w:val="32"/>
          <w:highlight w:val="none"/>
          <w:lang w:val="en-US" w:eastAsia="zh-CN"/>
        </w:rPr>
        <w:t>62184</w:t>
      </w:r>
      <w:r>
        <w:rPr>
          <w:rFonts w:hint="default" w:ascii="Times New Roman" w:hAnsi="Times New Roman" w:eastAsia="方正仿宋_GBK" w:cs="Times New Roman"/>
          <w:b/>
          <w:bCs/>
          <w:sz w:val="32"/>
          <w:szCs w:val="32"/>
          <w:highlight w:val="none"/>
          <w:lang w:val="en-US" w:eastAsia="zh-CN"/>
        </w:rPr>
        <w:t>万元。（按具体人数及标准测算</w:t>
      </w:r>
      <w:r>
        <w:rPr>
          <w:rFonts w:hint="eastAsia" w:eastAsia="方正仿宋_GBK" w:cs="Times New Roman"/>
          <w:b/>
          <w:bCs/>
          <w:sz w:val="32"/>
          <w:szCs w:val="32"/>
          <w:highlight w:val="none"/>
          <w:lang w:val="en-US" w:eastAsia="zh-CN"/>
        </w:rPr>
        <w:t>县级</w:t>
      </w:r>
      <w:r>
        <w:rPr>
          <w:rFonts w:hint="default" w:ascii="Times New Roman" w:hAnsi="Times New Roman" w:eastAsia="方正仿宋_GBK" w:cs="Times New Roman"/>
          <w:b/>
          <w:bCs/>
          <w:sz w:val="32"/>
          <w:szCs w:val="32"/>
          <w:highlight w:val="none"/>
          <w:lang w:val="en-US" w:eastAsia="zh-CN"/>
        </w:rPr>
        <w:t>安排</w:t>
      </w:r>
      <w:r>
        <w:rPr>
          <w:rFonts w:hint="eastAsia" w:eastAsia="方正仿宋_GBK" w:cs="Times New Roman"/>
          <w:b/>
          <w:bCs/>
          <w:sz w:val="32"/>
          <w:szCs w:val="32"/>
          <w:highlight w:val="none"/>
          <w:lang w:val="en-US" w:eastAsia="zh-CN"/>
        </w:rPr>
        <w:t>，含政府性基金保障老年人福利补贴事项体检26.13万元</w:t>
      </w:r>
      <w:r>
        <w:rPr>
          <w:rFonts w:hint="default" w:ascii="Times New Roman" w:hAnsi="Times New Roman" w:eastAsia="方正仿宋_GBK" w:cs="Times New Roman"/>
          <w:b/>
          <w:bCs/>
          <w:sz w:val="32"/>
          <w:szCs w:val="32"/>
          <w:highlight w:val="none"/>
          <w:lang w:val="en-US" w:eastAsia="zh-CN"/>
        </w:rPr>
        <w:t>）</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eastAsia"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（1）教育类支出预算安排数</w:t>
      </w:r>
      <w:r>
        <w:rPr>
          <w:rFonts w:hint="eastAsia" w:eastAsia="方正仿宋_GBK" w:cs="Times New Roman"/>
          <w:b w:val="0"/>
          <w:bCs/>
          <w:color w:val="auto"/>
          <w:sz w:val="32"/>
          <w:szCs w:val="32"/>
          <w:highlight w:val="none"/>
          <w:lang w:val="en-US" w:eastAsia="zh-CN"/>
        </w:rPr>
        <w:t>14705</w:t>
      </w:r>
      <w:r>
        <w:rPr>
          <w:rFonts w:hint="default" w:ascii="Times New Roman" w:hAnsi="Times New Roman" w:eastAsia="方正仿宋_GBK" w:cs="Times New Roman"/>
          <w:b w:val="0"/>
          <w:bCs/>
          <w:color w:val="auto"/>
          <w:sz w:val="32"/>
          <w:szCs w:val="32"/>
          <w:highlight w:val="none"/>
          <w:lang w:val="en-US" w:eastAsia="zh-CN"/>
        </w:rPr>
        <w:t>万元</w:t>
      </w:r>
      <w:r>
        <w:rPr>
          <w:rFonts w:hint="eastAsia" w:eastAsia="方正仿宋_GBK" w:cs="Times New Roman"/>
          <w:b w:val="0"/>
          <w:bCs/>
          <w:color w:val="auto"/>
          <w:sz w:val="32"/>
          <w:szCs w:val="32"/>
          <w:highlight w:val="none"/>
          <w:lang w:val="en-US" w:eastAsia="zh-CN"/>
        </w:rPr>
        <w:t>（其中县级配套373万元）；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eastAsia" w:ascii="Times New Roman" w:hAnsi="Times New Roman" w:eastAsia="方正仿宋_GBK" w:cs="Times New Roman"/>
          <w:b w:val="0"/>
          <w:bCs/>
          <w:color w:val="auto"/>
          <w:sz w:val="32"/>
          <w:szCs w:val="32"/>
          <w:highlight w:val="none"/>
          <w:lang w:val="en-US" w:eastAsia="zh-CN"/>
        </w:rPr>
      </w:pPr>
      <w:r>
        <w:rPr>
          <w:rFonts w:hint="eastAsia" w:ascii="Times New Roman" w:hAnsi="Times New Roman" w:eastAsia="方正仿宋_GBK" w:cs="Times New Roman"/>
          <w:b w:val="0"/>
          <w:bCs/>
          <w:color w:val="auto"/>
          <w:sz w:val="32"/>
          <w:szCs w:val="32"/>
          <w:highlight w:val="none"/>
          <w:lang w:val="en-US" w:eastAsia="zh-CN"/>
        </w:rPr>
        <w:t>（2）社保与就业支出预算安排数</w:t>
      </w:r>
      <w:r>
        <w:rPr>
          <w:rFonts w:hint="eastAsia" w:eastAsia="方正仿宋_GBK" w:cs="Times New Roman"/>
          <w:b w:val="0"/>
          <w:bCs/>
          <w:color w:val="auto"/>
          <w:sz w:val="32"/>
          <w:szCs w:val="32"/>
          <w:highlight w:val="none"/>
          <w:lang w:val="en-US" w:eastAsia="zh-CN"/>
        </w:rPr>
        <w:t>15148</w:t>
      </w:r>
      <w:r>
        <w:rPr>
          <w:rFonts w:hint="eastAsia" w:ascii="Times New Roman" w:hAnsi="Times New Roman" w:eastAsia="方正仿宋_GBK" w:cs="Times New Roman"/>
          <w:b w:val="0"/>
          <w:bCs/>
          <w:color w:val="auto"/>
          <w:sz w:val="32"/>
          <w:szCs w:val="32"/>
          <w:highlight w:val="none"/>
          <w:lang w:val="en-US" w:eastAsia="zh-CN"/>
        </w:rPr>
        <w:t>万元（其中县级配套</w:t>
      </w:r>
      <w:r>
        <w:rPr>
          <w:rFonts w:hint="eastAsia" w:eastAsia="方正仿宋_GBK" w:cs="Times New Roman"/>
          <w:b w:val="0"/>
          <w:bCs/>
          <w:color w:val="auto"/>
          <w:sz w:val="32"/>
          <w:szCs w:val="32"/>
          <w:highlight w:val="none"/>
          <w:lang w:val="en-US" w:eastAsia="zh-CN"/>
        </w:rPr>
        <w:t>2137</w:t>
      </w:r>
      <w:r>
        <w:rPr>
          <w:rFonts w:hint="eastAsia"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eastAsia" w:ascii="Times New Roman" w:hAnsi="Times New Roman" w:eastAsia="方正仿宋_GBK" w:cs="Times New Roman"/>
          <w:b w:val="0"/>
          <w:bCs/>
          <w:color w:val="auto"/>
          <w:sz w:val="32"/>
          <w:szCs w:val="32"/>
          <w:highlight w:val="none"/>
          <w:lang w:val="en-US" w:eastAsia="zh-CN"/>
        </w:rPr>
      </w:pPr>
      <w:r>
        <w:rPr>
          <w:rFonts w:hint="eastAsia" w:ascii="Times New Roman" w:hAnsi="Times New Roman" w:eastAsia="方正仿宋_GBK" w:cs="Times New Roman"/>
          <w:b w:val="0"/>
          <w:bCs/>
          <w:color w:val="auto"/>
          <w:sz w:val="32"/>
          <w:szCs w:val="32"/>
          <w:highlight w:val="none"/>
          <w:lang w:val="en-US" w:eastAsia="zh-CN"/>
        </w:rPr>
        <w:t>（3）卫生健康支出预算安排数222</w:t>
      </w:r>
      <w:r>
        <w:rPr>
          <w:rFonts w:hint="eastAsia" w:eastAsia="方正仿宋_GBK" w:cs="Times New Roman"/>
          <w:b w:val="0"/>
          <w:bCs/>
          <w:color w:val="auto"/>
          <w:sz w:val="32"/>
          <w:szCs w:val="32"/>
          <w:highlight w:val="none"/>
          <w:lang w:val="en-US" w:eastAsia="zh-CN"/>
        </w:rPr>
        <w:t>9</w:t>
      </w:r>
      <w:r>
        <w:rPr>
          <w:rFonts w:hint="eastAsia" w:ascii="Times New Roman" w:hAnsi="Times New Roman" w:eastAsia="方正仿宋_GBK" w:cs="Times New Roman"/>
          <w:b w:val="0"/>
          <w:bCs/>
          <w:color w:val="auto"/>
          <w:sz w:val="32"/>
          <w:szCs w:val="32"/>
          <w:highlight w:val="none"/>
          <w:lang w:val="en-US" w:eastAsia="zh-CN"/>
        </w:rPr>
        <w:t>万元</w:t>
      </w:r>
      <w:r>
        <w:rPr>
          <w:rFonts w:hint="eastAsia" w:eastAsia="方正仿宋_GBK" w:cs="Times New Roman"/>
          <w:b w:val="0"/>
          <w:bCs/>
          <w:color w:val="auto"/>
          <w:sz w:val="32"/>
          <w:szCs w:val="32"/>
          <w:highlight w:val="none"/>
          <w:lang w:val="en-US" w:eastAsia="zh-CN"/>
        </w:rPr>
        <w:t>（</w:t>
      </w:r>
      <w:r>
        <w:rPr>
          <w:rFonts w:hint="eastAsia" w:ascii="Times New Roman" w:hAnsi="Times New Roman" w:eastAsia="方正仿宋_GBK" w:cs="Times New Roman"/>
          <w:b w:val="0"/>
          <w:bCs/>
          <w:color w:val="auto"/>
          <w:sz w:val="32"/>
          <w:szCs w:val="32"/>
          <w:highlight w:val="none"/>
          <w:lang w:val="en-US" w:eastAsia="zh-CN"/>
        </w:rPr>
        <w:t>其中县级配套</w:t>
      </w:r>
      <w:r>
        <w:rPr>
          <w:rFonts w:hint="eastAsia" w:eastAsia="方正仿宋_GBK" w:cs="Times New Roman"/>
          <w:b w:val="0"/>
          <w:bCs/>
          <w:color w:val="auto"/>
          <w:sz w:val="32"/>
          <w:szCs w:val="32"/>
          <w:highlight w:val="none"/>
          <w:lang w:val="en-US" w:eastAsia="zh-CN"/>
        </w:rPr>
        <w:t>2</w:t>
      </w:r>
      <w:r>
        <w:rPr>
          <w:rFonts w:hint="eastAsia" w:ascii="Times New Roman" w:hAnsi="Times New Roman" w:eastAsia="方正仿宋_GBK" w:cs="Times New Roman"/>
          <w:b w:val="0"/>
          <w:bCs/>
          <w:color w:val="auto"/>
          <w:sz w:val="32"/>
          <w:szCs w:val="32"/>
          <w:highlight w:val="none"/>
          <w:lang w:val="en-US" w:eastAsia="zh-CN"/>
        </w:rPr>
        <w:t>万元</w:t>
      </w:r>
      <w:r>
        <w:rPr>
          <w:rFonts w:hint="eastAsia" w:eastAsia="方正仿宋_GBK" w:cs="Times New Roman"/>
          <w:b w:val="0"/>
          <w:bCs/>
          <w:color w:val="auto"/>
          <w:sz w:val="32"/>
          <w:szCs w:val="32"/>
          <w:highlight w:val="none"/>
          <w:lang w:val="en-US" w:eastAsia="zh-CN"/>
        </w:rPr>
        <w:t>）</w:t>
      </w:r>
      <w:r>
        <w:rPr>
          <w:rFonts w:hint="eastAsia" w:ascii="Times New Roman" w:hAnsi="Times New Roman" w:eastAsia="方正仿宋_GBK" w:cs="Times New Roman"/>
          <w:b w:val="0"/>
          <w:bCs/>
          <w:color w:val="auto"/>
          <w:sz w:val="32"/>
          <w:szCs w:val="32"/>
          <w:highlight w:val="none"/>
          <w:lang w:val="en-US" w:eastAsia="zh-CN"/>
        </w:rPr>
        <w:t>；</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eastAsia" w:ascii="Times New Roman" w:hAnsi="Times New Roman" w:eastAsia="方正仿宋_GBK" w:cs="Times New Roman"/>
          <w:b w:val="0"/>
          <w:bCs/>
          <w:color w:val="auto"/>
          <w:sz w:val="32"/>
          <w:szCs w:val="32"/>
          <w:highlight w:val="none"/>
          <w:lang w:val="en-US" w:eastAsia="zh-CN"/>
        </w:rPr>
      </w:pPr>
      <w:r>
        <w:rPr>
          <w:rFonts w:hint="eastAsia" w:ascii="Times New Roman" w:hAnsi="Times New Roman" w:eastAsia="方正仿宋_GBK" w:cs="Times New Roman"/>
          <w:b w:val="0"/>
          <w:bCs/>
          <w:color w:val="auto"/>
          <w:sz w:val="32"/>
          <w:szCs w:val="32"/>
          <w:highlight w:val="none"/>
          <w:lang w:val="en-US" w:eastAsia="zh-CN"/>
        </w:rPr>
        <w:t>（4）村级支出预算安排数3</w:t>
      </w:r>
      <w:r>
        <w:rPr>
          <w:rFonts w:hint="eastAsia" w:eastAsia="方正仿宋_GBK" w:cs="Times New Roman"/>
          <w:b w:val="0"/>
          <w:bCs/>
          <w:color w:val="auto"/>
          <w:sz w:val="32"/>
          <w:szCs w:val="32"/>
          <w:highlight w:val="none"/>
          <w:lang w:val="en-US" w:eastAsia="zh-CN"/>
        </w:rPr>
        <w:t>508</w:t>
      </w:r>
      <w:r>
        <w:rPr>
          <w:rFonts w:hint="eastAsia" w:ascii="Times New Roman" w:hAnsi="Times New Roman" w:eastAsia="方正仿宋_GBK" w:cs="Times New Roman"/>
          <w:b w:val="0"/>
          <w:bCs/>
          <w:color w:val="auto"/>
          <w:sz w:val="32"/>
          <w:szCs w:val="32"/>
          <w:highlight w:val="none"/>
          <w:lang w:val="en-US" w:eastAsia="zh-CN"/>
        </w:rPr>
        <w:t>万元（其中县级配套</w:t>
      </w:r>
      <w:r>
        <w:rPr>
          <w:rFonts w:hint="eastAsia" w:eastAsia="方正仿宋_GBK" w:cs="Times New Roman"/>
          <w:b w:val="0"/>
          <w:bCs/>
          <w:color w:val="auto"/>
          <w:sz w:val="32"/>
          <w:szCs w:val="32"/>
          <w:highlight w:val="none"/>
          <w:lang w:val="en-US" w:eastAsia="zh-CN"/>
        </w:rPr>
        <w:t>1543</w:t>
      </w:r>
      <w:r>
        <w:rPr>
          <w:rFonts w:hint="eastAsia"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eastAsia" w:ascii="Times New Roman" w:hAnsi="Times New Roman" w:eastAsia="方正仿宋_GBK" w:cs="Times New Roman"/>
          <w:b w:val="0"/>
          <w:bCs/>
          <w:color w:val="auto"/>
          <w:sz w:val="32"/>
          <w:szCs w:val="32"/>
          <w:highlight w:val="none"/>
          <w:lang w:val="en-US" w:eastAsia="zh-CN"/>
        </w:rPr>
      </w:pPr>
      <w:r>
        <w:rPr>
          <w:rFonts w:hint="eastAsia" w:ascii="Times New Roman" w:hAnsi="Times New Roman" w:eastAsia="方正仿宋_GBK" w:cs="Times New Roman"/>
          <w:b w:val="0"/>
          <w:bCs/>
          <w:color w:val="auto"/>
          <w:sz w:val="32"/>
          <w:szCs w:val="32"/>
          <w:highlight w:val="none"/>
          <w:lang w:val="en-US" w:eastAsia="zh-CN"/>
        </w:rPr>
        <w:t>（5）巩固拓展脱贫攻坚成果同乡村振兴衔接支出预算安排数22</w:t>
      </w:r>
      <w:r>
        <w:rPr>
          <w:rFonts w:hint="eastAsia" w:eastAsia="方正仿宋_GBK" w:cs="Times New Roman"/>
          <w:b w:val="0"/>
          <w:bCs/>
          <w:color w:val="auto"/>
          <w:sz w:val="32"/>
          <w:szCs w:val="32"/>
          <w:highlight w:val="none"/>
          <w:lang w:val="en-US" w:eastAsia="zh-CN"/>
        </w:rPr>
        <w:t>735</w:t>
      </w:r>
      <w:r>
        <w:rPr>
          <w:rFonts w:hint="eastAsia" w:ascii="Times New Roman" w:hAnsi="Times New Roman" w:eastAsia="方正仿宋_GBK" w:cs="Times New Roman"/>
          <w:b w:val="0"/>
          <w:bCs/>
          <w:color w:val="auto"/>
          <w:sz w:val="32"/>
          <w:szCs w:val="32"/>
          <w:highlight w:val="none"/>
          <w:lang w:val="en-US" w:eastAsia="zh-CN"/>
        </w:rPr>
        <w:t>万元（其中县级配套38万元）；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eastAsia" w:ascii="Times New Roman" w:hAnsi="Times New Roman" w:eastAsia="方正仿宋_GBK" w:cs="Times New Roman"/>
          <w:b w:val="0"/>
          <w:bCs/>
          <w:color w:val="auto"/>
          <w:sz w:val="32"/>
          <w:szCs w:val="32"/>
          <w:highlight w:val="none"/>
          <w:lang w:val="en-US" w:eastAsia="zh-CN"/>
        </w:rPr>
      </w:pPr>
      <w:r>
        <w:rPr>
          <w:rFonts w:hint="eastAsia" w:ascii="Times New Roman" w:hAnsi="Times New Roman" w:eastAsia="方正仿宋_GBK" w:cs="Times New Roman"/>
          <w:b w:val="0"/>
          <w:bCs/>
          <w:color w:val="auto"/>
          <w:sz w:val="32"/>
          <w:szCs w:val="32"/>
          <w:highlight w:val="none"/>
          <w:lang w:val="en-US" w:eastAsia="zh-CN"/>
        </w:rPr>
        <w:t>（6）其他民生支出预算安排数</w:t>
      </w:r>
      <w:r>
        <w:rPr>
          <w:rFonts w:hint="eastAsia" w:eastAsia="方正仿宋_GBK" w:cs="Times New Roman"/>
          <w:b w:val="0"/>
          <w:bCs/>
          <w:color w:val="auto"/>
          <w:sz w:val="32"/>
          <w:szCs w:val="32"/>
          <w:highlight w:val="none"/>
          <w:lang w:val="en-US" w:eastAsia="zh-CN"/>
        </w:rPr>
        <w:t>3859</w:t>
      </w:r>
      <w:r>
        <w:rPr>
          <w:rFonts w:hint="eastAsia" w:ascii="Times New Roman" w:hAnsi="Times New Roman" w:eastAsia="方正仿宋_GBK" w:cs="Times New Roman"/>
          <w:b w:val="0"/>
          <w:bCs/>
          <w:color w:val="auto"/>
          <w:sz w:val="32"/>
          <w:szCs w:val="32"/>
          <w:highlight w:val="none"/>
          <w:lang w:val="en-US" w:eastAsia="zh-CN"/>
        </w:rPr>
        <w:t>万元（其中县级配套</w:t>
      </w:r>
      <w:r>
        <w:rPr>
          <w:rFonts w:hint="eastAsia" w:eastAsia="方正仿宋_GBK" w:cs="Times New Roman"/>
          <w:b w:val="0"/>
          <w:bCs/>
          <w:color w:val="auto"/>
          <w:sz w:val="32"/>
          <w:szCs w:val="32"/>
          <w:highlight w:val="none"/>
          <w:lang w:val="en-US" w:eastAsia="zh-CN"/>
        </w:rPr>
        <w:t>275</w:t>
      </w:r>
      <w:r>
        <w:rPr>
          <w:rFonts w:hint="eastAsia" w:ascii="Times New Roman" w:hAnsi="Times New Roman" w:eastAsia="方正仿宋_GBK" w:cs="Times New Roman"/>
          <w:b w:val="0"/>
          <w:bCs/>
          <w:color w:val="auto"/>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val="0"/>
          <w:bCs/>
          <w:color w:val="auto"/>
          <w:sz w:val="32"/>
          <w:szCs w:val="32"/>
          <w:highlight w:val="none"/>
          <w:lang w:val="en-US" w:eastAsia="zh-CN"/>
        </w:rPr>
      </w:pPr>
      <w:r>
        <w:rPr>
          <w:rFonts w:hint="default" w:ascii="Times New Roman" w:hAnsi="Times New Roman" w:eastAsia="方正仿宋_GBK" w:cs="Times New Roman"/>
          <w:b w:val="0"/>
          <w:bCs/>
          <w:color w:val="auto"/>
          <w:sz w:val="32"/>
          <w:szCs w:val="32"/>
          <w:highlight w:val="none"/>
          <w:lang w:val="en-US" w:eastAsia="zh-CN"/>
        </w:rPr>
        <w:t>按照收支平衡原则，202</w:t>
      </w:r>
      <w:r>
        <w:rPr>
          <w:rFonts w:hint="eastAsia" w:eastAsia="方正仿宋_GBK" w:cs="Times New Roman"/>
          <w:b w:val="0"/>
          <w:bCs/>
          <w:color w:val="auto"/>
          <w:sz w:val="32"/>
          <w:szCs w:val="32"/>
          <w:highlight w:val="none"/>
          <w:lang w:val="en-US" w:eastAsia="zh-CN"/>
        </w:rPr>
        <w:t>6</w:t>
      </w:r>
      <w:r>
        <w:rPr>
          <w:rFonts w:hint="default" w:ascii="Times New Roman" w:hAnsi="Times New Roman" w:eastAsia="方正仿宋_GBK" w:cs="Times New Roman"/>
          <w:b w:val="0"/>
          <w:bCs/>
          <w:color w:val="auto"/>
          <w:sz w:val="32"/>
          <w:szCs w:val="32"/>
          <w:highlight w:val="none"/>
          <w:lang w:val="en-US" w:eastAsia="zh-CN"/>
        </w:rPr>
        <w:t>年“三保”预算可用财力预计</w:t>
      </w:r>
      <w:r>
        <w:rPr>
          <w:rFonts w:hint="eastAsia" w:eastAsia="方正仿宋_GBK" w:cs="Times New Roman"/>
          <w:b w:val="0"/>
          <w:bCs/>
          <w:color w:val="auto"/>
          <w:sz w:val="32"/>
          <w:szCs w:val="32"/>
          <w:highlight w:val="none"/>
          <w:lang w:val="en-US" w:eastAsia="zh-CN"/>
        </w:rPr>
        <w:t>216673</w:t>
      </w:r>
      <w:r>
        <w:rPr>
          <w:rFonts w:hint="default" w:ascii="Times New Roman" w:hAnsi="Times New Roman" w:eastAsia="方正仿宋_GBK" w:cs="Times New Roman"/>
          <w:b w:val="0"/>
          <w:bCs/>
          <w:color w:val="auto"/>
          <w:sz w:val="32"/>
          <w:szCs w:val="32"/>
          <w:highlight w:val="none"/>
          <w:lang w:val="en-US" w:eastAsia="zh-CN"/>
        </w:rPr>
        <w:t>万元，其中：保工资支出</w:t>
      </w:r>
      <w:r>
        <w:rPr>
          <w:rFonts w:hint="eastAsia" w:eastAsia="方正仿宋_GBK" w:cs="Times New Roman"/>
          <w:b w:val="0"/>
          <w:bCs/>
          <w:color w:val="auto"/>
          <w:sz w:val="32"/>
          <w:szCs w:val="32"/>
          <w:highlight w:val="none"/>
          <w:lang w:val="en-US" w:eastAsia="zh-CN"/>
        </w:rPr>
        <w:t>131654</w:t>
      </w:r>
      <w:r>
        <w:rPr>
          <w:rFonts w:hint="default" w:ascii="Times New Roman" w:hAnsi="Times New Roman" w:eastAsia="方正仿宋_GBK" w:cs="Times New Roman"/>
          <w:b w:val="0"/>
          <w:bCs/>
          <w:color w:val="auto"/>
          <w:sz w:val="32"/>
          <w:szCs w:val="32"/>
          <w:highlight w:val="none"/>
          <w:lang w:val="en-US" w:eastAsia="zh-CN"/>
        </w:rPr>
        <w:t>万元、“保运转”支出预算</w:t>
      </w:r>
      <w:r>
        <w:rPr>
          <w:rFonts w:hint="eastAsia" w:eastAsia="方正仿宋_GBK" w:cs="Times New Roman"/>
          <w:b w:val="0"/>
          <w:bCs/>
          <w:color w:val="auto"/>
          <w:sz w:val="32"/>
          <w:szCs w:val="32"/>
          <w:highlight w:val="none"/>
          <w:lang w:val="en-US" w:eastAsia="zh-CN"/>
        </w:rPr>
        <w:t>1959</w:t>
      </w:r>
      <w:r>
        <w:rPr>
          <w:rFonts w:hint="default" w:ascii="Times New Roman" w:hAnsi="Times New Roman" w:eastAsia="方正仿宋_GBK" w:cs="Times New Roman"/>
          <w:b w:val="0"/>
          <w:bCs/>
          <w:color w:val="auto"/>
          <w:sz w:val="32"/>
          <w:szCs w:val="32"/>
          <w:highlight w:val="none"/>
          <w:lang w:val="en-US" w:eastAsia="zh-CN"/>
        </w:rPr>
        <w:t>万元、“保</w:t>
      </w:r>
      <w:r>
        <w:rPr>
          <w:rFonts w:hint="eastAsia" w:eastAsia="方正仿宋_GBK" w:cs="Times New Roman"/>
          <w:b w:val="0"/>
          <w:bCs/>
          <w:color w:val="auto"/>
          <w:sz w:val="32"/>
          <w:szCs w:val="32"/>
          <w:highlight w:val="none"/>
          <w:lang w:val="en-US" w:eastAsia="zh-CN"/>
        </w:rPr>
        <w:t>基本</w:t>
      </w:r>
      <w:r>
        <w:rPr>
          <w:rFonts w:hint="default" w:ascii="Times New Roman" w:hAnsi="Times New Roman" w:eastAsia="方正仿宋_GBK" w:cs="Times New Roman"/>
          <w:b w:val="0"/>
          <w:bCs/>
          <w:color w:val="auto"/>
          <w:sz w:val="32"/>
          <w:szCs w:val="32"/>
          <w:highlight w:val="none"/>
          <w:lang w:val="en-US" w:eastAsia="zh-CN"/>
        </w:rPr>
        <w:t>民生”支出预算</w:t>
      </w:r>
      <w:r>
        <w:rPr>
          <w:rFonts w:hint="eastAsia" w:eastAsia="方正仿宋_GBK" w:cs="Times New Roman"/>
          <w:b w:val="0"/>
          <w:bCs/>
          <w:color w:val="auto"/>
          <w:sz w:val="32"/>
          <w:szCs w:val="32"/>
          <w:highlight w:val="none"/>
          <w:lang w:val="en-US" w:eastAsia="zh-CN"/>
        </w:rPr>
        <w:t>62184</w:t>
      </w:r>
      <w:r>
        <w:rPr>
          <w:rFonts w:hint="default" w:ascii="Times New Roman" w:hAnsi="Times New Roman" w:eastAsia="方正仿宋_GBK" w:cs="Times New Roman"/>
          <w:b w:val="0"/>
          <w:bCs/>
          <w:color w:val="auto"/>
          <w:sz w:val="32"/>
          <w:szCs w:val="32"/>
          <w:highlight w:val="none"/>
          <w:lang w:val="en-US" w:eastAsia="zh-CN"/>
        </w:rPr>
        <w:t>万元，“三保”预算支出</w:t>
      </w:r>
      <w:r>
        <w:rPr>
          <w:rFonts w:hint="eastAsia" w:eastAsia="方正仿宋_GBK" w:cs="Times New Roman"/>
          <w:b w:val="0"/>
          <w:bCs/>
          <w:color w:val="auto"/>
          <w:sz w:val="32"/>
          <w:szCs w:val="32"/>
          <w:highlight w:val="none"/>
          <w:lang w:val="en-US" w:eastAsia="zh-CN"/>
        </w:rPr>
        <w:t>195797</w:t>
      </w:r>
      <w:r>
        <w:rPr>
          <w:rFonts w:hint="default" w:ascii="Times New Roman" w:hAnsi="Times New Roman" w:eastAsia="方正仿宋_GBK" w:cs="Times New Roman"/>
          <w:b w:val="0"/>
          <w:bCs/>
          <w:color w:val="auto"/>
          <w:sz w:val="32"/>
          <w:szCs w:val="32"/>
          <w:highlight w:val="none"/>
          <w:lang w:val="en-US" w:eastAsia="zh-CN"/>
        </w:rPr>
        <w:t>万元，可用财力可有效保障“三保”预算支出。</w:t>
      </w:r>
    </w:p>
    <w:p>
      <w:pPr>
        <w:keepNext w:val="0"/>
        <w:keepLines w:val="0"/>
        <w:pageBreakBefore w:val="0"/>
        <w:widowControl w:val="0"/>
        <w:kinsoku/>
        <w:wordWrap/>
        <w:overflowPunct/>
        <w:topLinePunct w:val="0"/>
        <w:autoSpaceDE/>
        <w:bidi w:val="0"/>
        <w:spacing w:line="620" w:lineRule="exact"/>
        <w:ind w:firstLine="616" w:firstLineChars="200"/>
        <w:textAlignment w:val="auto"/>
        <w:rPr>
          <w:rFonts w:hint="default" w:ascii="Times New Roman" w:hAnsi="Times New Roman" w:eastAsia="方正仿宋_GBK" w:cs="Times New Roman"/>
          <w:b/>
          <w:bCs/>
          <w:spacing w:val="-6"/>
          <w:sz w:val="32"/>
          <w:szCs w:val="32"/>
          <w:highlight w:val="none"/>
          <w:lang w:val="en-US" w:eastAsia="zh-CN"/>
        </w:rPr>
      </w:pPr>
      <w:r>
        <w:rPr>
          <w:rFonts w:hint="eastAsia" w:ascii="方正楷体_GBK" w:hAnsi="方正楷体_GBK" w:eastAsia="方正楷体_GBK" w:cs="方正楷体_GBK"/>
          <w:b/>
          <w:bCs/>
          <w:spacing w:val="-6"/>
          <w:sz w:val="32"/>
          <w:szCs w:val="32"/>
          <w:highlight w:val="none"/>
          <w:lang w:val="en-US" w:eastAsia="zh-CN"/>
        </w:rPr>
        <w:t>（三）政府性基金预算</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lang w:val="en-US" w:eastAsia="zh-CN"/>
        </w:rPr>
        <w:t>1.</w:t>
      </w:r>
      <w:r>
        <w:rPr>
          <w:rFonts w:hint="default" w:ascii="Times New Roman" w:hAnsi="Times New Roman" w:eastAsia="方正仿宋_GBK" w:cs="Times New Roman"/>
          <w:b/>
          <w:bCs/>
          <w:sz w:val="32"/>
          <w:szCs w:val="32"/>
          <w:highlight w:val="none"/>
        </w:rPr>
        <w:t>全年政府性基金预算收入</w:t>
      </w:r>
      <w:r>
        <w:rPr>
          <w:rFonts w:hint="eastAsia" w:eastAsia="方正仿宋_GBK" w:cs="Times New Roman"/>
          <w:b/>
          <w:bCs/>
          <w:sz w:val="32"/>
          <w:szCs w:val="32"/>
          <w:highlight w:val="none"/>
          <w:lang w:val="en-US" w:eastAsia="zh-CN"/>
        </w:rPr>
        <w:t>34685</w:t>
      </w:r>
      <w:r>
        <w:rPr>
          <w:rFonts w:hint="default" w:ascii="Times New Roman" w:hAnsi="Times New Roman" w:eastAsia="方正仿宋_GBK" w:cs="Times New Roman"/>
          <w:b/>
          <w:bCs/>
          <w:sz w:val="32"/>
          <w:szCs w:val="32"/>
          <w:highlight w:val="none"/>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val="en-US" w:eastAsia="zh-CN"/>
        </w:rPr>
        <w:t>（1）</w:t>
      </w:r>
      <w:r>
        <w:rPr>
          <w:rFonts w:hint="default" w:ascii="Times New Roman" w:hAnsi="Times New Roman" w:eastAsia="方正仿宋_GBK" w:cs="Times New Roman"/>
          <w:sz w:val="32"/>
          <w:szCs w:val="32"/>
          <w:highlight w:val="none"/>
        </w:rPr>
        <w:t>国有土地使用权出让收入</w:t>
      </w:r>
      <w:r>
        <w:rPr>
          <w:rFonts w:hint="eastAsia" w:eastAsia="方正仿宋_GBK" w:cs="Times New Roman"/>
          <w:sz w:val="32"/>
          <w:szCs w:val="32"/>
          <w:highlight w:val="none"/>
          <w:lang w:val="en-US" w:eastAsia="zh-CN"/>
        </w:rPr>
        <w:t>10698</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（2）城市基础设施配套费收入50万元；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eastAsia" w:ascii="Times New Roman" w:hAnsi="Times New Roman" w:eastAsia="方正仿宋_GBK" w:cs="Times New Roman"/>
          <w:sz w:val="32"/>
          <w:szCs w:val="32"/>
          <w:highlight w:val="none"/>
          <w:lang w:val="en-US" w:eastAsia="zh-CN"/>
        </w:rPr>
        <w:t>（3）污水处理费收入200万元；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CN"/>
        </w:rPr>
        <w:t>）其他政府性基金专项债务对应项目专项收入（专项债券收益）</w:t>
      </w:r>
      <w:r>
        <w:rPr>
          <w:rFonts w:hint="eastAsia" w:ascii="Times New Roman" w:hAnsi="Times New Roman" w:eastAsia="方正仿宋_GBK" w:cs="Times New Roman"/>
          <w:sz w:val="32"/>
          <w:szCs w:val="32"/>
          <w:highlight w:val="none"/>
          <w:lang w:val="en-US" w:eastAsia="zh-CN"/>
        </w:rPr>
        <w:t>6500</w:t>
      </w:r>
      <w:r>
        <w:rPr>
          <w:rFonts w:hint="default" w:ascii="Times New Roman" w:hAnsi="Times New Roman" w:eastAsia="方正仿宋_GBK" w:cs="Times New Roman"/>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lang w:val="en-US" w:eastAsia="zh-CN"/>
        </w:rPr>
        <w:t>）上年结余</w:t>
      </w:r>
      <w:r>
        <w:rPr>
          <w:rFonts w:hint="eastAsia" w:ascii="Times New Roman" w:hAnsi="Times New Roman" w:eastAsia="方正仿宋_GBK" w:cs="Times New Roman"/>
          <w:sz w:val="32"/>
          <w:szCs w:val="32"/>
          <w:highlight w:val="none"/>
          <w:lang w:val="en-US" w:eastAsia="zh-CN"/>
        </w:rPr>
        <w:t>1663</w:t>
      </w:r>
      <w:r>
        <w:rPr>
          <w:rFonts w:hint="eastAsia" w:eastAsia="方正仿宋_GBK" w:cs="Times New Roman"/>
          <w:sz w:val="32"/>
          <w:szCs w:val="32"/>
          <w:highlight w:val="none"/>
          <w:lang w:val="en-US" w:eastAsia="zh-CN"/>
        </w:rPr>
        <w:t>8</w:t>
      </w:r>
      <w:r>
        <w:rPr>
          <w:rFonts w:hint="default" w:ascii="Times New Roman" w:hAnsi="Times New Roman" w:eastAsia="方正仿宋_GBK" w:cs="Times New Roman"/>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w:t>
      </w:r>
      <w:r>
        <w:rPr>
          <w:rFonts w:hint="eastAsia"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lang w:val="en-US" w:eastAsia="zh-CN"/>
        </w:rPr>
        <w:t>）提前预告知专项收入</w:t>
      </w:r>
      <w:r>
        <w:rPr>
          <w:rFonts w:hint="eastAsia" w:eastAsia="方正仿宋_GBK" w:cs="Times New Roman"/>
          <w:sz w:val="32"/>
          <w:szCs w:val="32"/>
          <w:highlight w:val="none"/>
          <w:lang w:val="en-US" w:eastAsia="zh-CN"/>
        </w:rPr>
        <w:t>599</w:t>
      </w:r>
      <w:r>
        <w:rPr>
          <w:rFonts w:hint="default" w:ascii="Times New Roman" w:hAnsi="Times New Roman" w:eastAsia="方正仿宋_GBK" w:cs="Times New Roman"/>
          <w:sz w:val="32"/>
          <w:szCs w:val="32"/>
          <w:highlight w:val="none"/>
          <w:lang w:val="en-US" w:eastAsia="zh-CN"/>
        </w:rPr>
        <w:t>万元。</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2.全年政府性基金预算支出</w:t>
      </w:r>
      <w:r>
        <w:rPr>
          <w:rFonts w:hint="eastAsia" w:eastAsia="方正仿宋_GBK" w:cs="Times New Roman"/>
          <w:b/>
          <w:bCs/>
          <w:sz w:val="32"/>
          <w:szCs w:val="32"/>
          <w:highlight w:val="none"/>
          <w:lang w:val="en-US" w:eastAsia="zh-CN"/>
        </w:rPr>
        <w:t>34685</w:t>
      </w:r>
      <w:r>
        <w:rPr>
          <w:rFonts w:hint="default" w:ascii="Times New Roman" w:hAnsi="Times New Roman" w:eastAsia="方正仿宋_GBK" w:cs="Times New Roman"/>
          <w:b/>
          <w:bCs/>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val="en-US" w:eastAsia="zh-CN"/>
        </w:rPr>
        <w:t>（1）</w:t>
      </w:r>
      <w:r>
        <w:rPr>
          <w:rFonts w:hint="default" w:ascii="Times New Roman" w:hAnsi="Times New Roman" w:eastAsia="方正仿宋_GBK" w:cs="Times New Roman"/>
          <w:sz w:val="32"/>
          <w:szCs w:val="32"/>
          <w:highlight w:val="none"/>
        </w:rPr>
        <w:t>安排征地和拆迁补偿基金预算</w:t>
      </w:r>
      <w:r>
        <w:rPr>
          <w:rFonts w:hint="eastAsia" w:eastAsia="方正仿宋_GBK" w:cs="Times New Roman"/>
          <w:sz w:val="32"/>
          <w:szCs w:val="32"/>
          <w:highlight w:val="none"/>
          <w:lang w:eastAsia="zh-CN"/>
        </w:rPr>
        <w:t>及其他</w:t>
      </w:r>
      <w:r>
        <w:rPr>
          <w:rFonts w:hint="default" w:ascii="Times New Roman" w:hAnsi="Times New Roman" w:eastAsia="方正仿宋_GBK" w:cs="Times New Roman"/>
          <w:sz w:val="32"/>
          <w:szCs w:val="32"/>
          <w:highlight w:val="none"/>
        </w:rPr>
        <w:t>支出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rPr>
        <w:t>安排地方政府专项债务付息</w:t>
      </w:r>
      <w:r>
        <w:rPr>
          <w:rFonts w:hint="default" w:ascii="Times New Roman" w:hAnsi="Times New Roman" w:eastAsia="方正仿宋_GBK" w:cs="Times New Roman"/>
          <w:sz w:val="32"/>
          <w:szCs w:val="32"/>
          <w:highlight w:val="none"/>
          <w:lang w:eastAsia="zh-CN"/>
        </w:rPr>
        <w:t>及发行费</w:t>
      </w:r>
      <w:r>
        <w:rPr>
          <w:rFonts w:hint="default" w:ascii="Times New Roman" w:hAnsi="Times New Roman" w:eastAsia="方正仿宋_GBK" w:cs="Times New Roman"/>
          <w:sz w:val="32"/>
          <w:szCs w:val="32"/>
          <w:highlight w:val="none"/>
        </w:rPr>
        <w:t>支出</w:t>
      </w:r>
      <w:r>
        <w:rPr>
          <w:rFonts w:hint="eastAsia" w:eastAsia="方正仿宋_GBK" w:cs="Times New Roman"/>
          <w:sz w:val="32"/>
          <w:szCs w:val="32"/>
          <w:highlight w:val="none"/>
          <w:lang w:val="en-US" w:eastAsia="zh-CN"/>
        </w:rPr>
        <w:t>8068</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（3）</w:t>
      </w:r>
      <w:r>
        <w:rPr>
          <w:rFonts w:hint="default" w:ascii="Times New Roman" w:hAnsi="Times New Roman" w:eastAsia="方正仿宋_GBK" w:cs="Times New Roman"/>
          <w:sz w:val="32"/>
          <w:szCs w:val="32"/>
          <w:highlight w:val="none"/>
        </w:rPr>
        <w:t>国有土地使用权出让收入安排</w:t>
      </w:r>
      <w:r>
        <w:rPr>
          <w:rFonts w:hint="eastAsia" w:eastAsia="方正仿宋_GBK" w:cs="Times New Roman"/>
          <w:sz w:val="32"/>
          <w:szCs w:val="32"/>
          <w:highlight w:val="none"/>
          <w:lang w:val="en-US" w:eastAsia="zh-CN"/>
        </w:rPr>
        <w:t>9380</w:t>
      </w:r>
      <w:r>
        <w:rPr>
          <w:rFonts w:hint="default" w:ascii="Times New Roman" w:hAnsi="Times New Roman" w:eastAsia="方正仿宋_GBK" w:cs="Times New Roman"/>
          <w:sz w:val="32"/>
          <w:szCs w:val="32"/>
          <w:highlight w:val="none"/>
        </w:rPr>
        <w:t>万元调入</w:t>
      </w:r>
      <w:r>
        <w:rPr>
          <w:rFonts w:hint="eastAsia" w:eastAsia="方正仿宋_GBK" w:cs="Times New Roman"/>
          <w:sz w:val="32"/>
          <w:szCs w:val="32"/>
          <w:highlight w:val="none"/>
          <w:lang w:eastAsia="zh-CN"/>
        </w:rPr>
        <w:t>一般</w:t>
      </w:r>
      <w:r>
        <w:rPr>
          <w:rFonts w:hint="default" w:ascii="Times New Roman" w:hAnsi="Times New Roman" w:eastAsia="方正仿宋_GBK" w:cs="Times New Roman"/>
          <w:sz w:val="32"/>
          <w:szCs w:val="32"/>
          <w:highlight w:val="none"/>
        </w:rPr>
        <w:t>公共预算；</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eastAsia="zh-CN"/>
        </w:rPr>
        <w:t>结转支出</w:t>
      </w:r>
      <w:r>
        <w:rPr>
          <w:rFonts w:hint="eastAsia" w:eastAsia="方正仿宋_GBK" w:cs="Times New Roman"/>
          <w:sz w:val="32"/>
          <w:szCs w:val="32"/>
          <w:highlight w:val="none"/>
          <w:lang w:val="en-US" w:eastAsia="zh-CN"/>
        </w:rPr>
        <w:t>16638</w:t>
      </w:r>
      <w:r>
        <w:rPr>
          <w:rFonts w:hint="default" w:ascii="Times New Roman" w:hAnsi="Times New Roman" w:eastAsia="方正仿宋_GBK" w:cs="Times New Roman"/>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lang w:eastAsia="zh-CN"/>
        </w:rPr>
        <w:t>提前预告知专项支出</w:t>
      </w:r>
      <w:r>
        <w:rPr>
          <w:rFonts w:hint="eastAsia" w:eastAsia="方正仿宋_GBK" w:cs="Times New Roman"/>
          <w:sz w:val="32"/>
          <w:szCs w:val="32"/>
          <w:highlight w:val="none"/>
          <w:lang w:val="en-US" w:eastAsia="zh-CN"/>
        </w:rPr>
        <w:t>599</w:t>
      </w:r>
      <w:r>
        <w:rPr>
          <w:rFonts w:hint="default" w:ascii="Times New Roman" w:hAnsi="Times New Roman" w:eastAsia="方正仿宋_GBK" w:cs="Times New Roman"/>
          <w:sz w:val="32"/>
          <w:szCs w:val="32"/>
          <w:highlight w:val="none"/>
          <w:lang w:val="en-US" w:eastAsia="zh-CN"/>
        </w:rPr>
        <w:t>万元</w:t>
      </w:r>
      <w:r>
        <w:rPr>
          <w:rFonts w:hint="eastAsia" w:eastAsia="方正仿宋_GBK"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b/>
          <w:bCs/>
          <w:sz w:val="32"/>
          <w:szCs w:val="32"/>
          <w:highlight w:val="none"/>
        </w:rPr>
        <w:t>按照收支平衡原则，</w:t>
      </w:r>
      <w:r>
        <w:rPr>
          <w:rFonts w:hint="default" w:ascii="Times New Roman" w:hAnsi="Times New Roman" w:eastAsia="方正仿宋_GBK" w:cs="Times New Roman"/>
          <w:b/>
          <w:bCs/>
          <w:sz w:val="32"/>
          <w:szCs w:val="32"/>
          <w:highlight w:val="none"/>
          <w:lang w:eastAsia="zh-CN"/>
        </w:rPr>
        <w:t>202</w:t>
      </w:r>
      <w:r>
        <w:rPr>
          <w:rFonts w:hint="eastAsia" w:eastAsia="方正仿宋_GBK" w:cs="Times New Roman"/>
          <w:b/>
          <w:bCs/>
          <w:sz w:val="32"/>
          <w:szCs w:val="32"/>
          <w:highlight w:val="none"/>
          <w:lang w:val="en-US" w:eastAsia="zh-CN"/>
        </w:rPr>
        <w:t>6</w:t>
      </w:r>
      <w:r>
        <w:rPr>
          <w:rFonts w:hint="default" w:ascii="Times New Roman" w:hAnsi="Times New Roman" w:eastAsia="方正仿宋_GBK" w:cs="Times New Roman"/>
          <w:b/>
          <w:bCs/>
          <w:sz w:val="32"/>
          <w:szCs w:val="32"/>
          <w:highlight w:val="none"/>
          <w:lang w:eastAsia="zh-CN"/>
        </w:rPr>
        <w:t>年政府性</w:t>
      </w:r>
      <w:r>
        <w:rPr>
          <w:rFonts w:hint="default" w:ascii="Times New Roman" w:hAnsi="Times New Roman" w:eastAsia="方正仿宋_GBK" w:cs="Times New Roman"/>
          <w:b/>
          <w:bCs/>
          <w:sz w:val="32"/>
          <w:szCs w:val="32"/>
          <w:highlight w:val="none"/>
        </w:rPr>
        <w:t>基金收支相抵预算平衡。</w:t>
      </w:r>
    </w:p>
    <w:p>
      <w:pPr>
        <w:keepNext w:val="0"/>
        <w:keepLines w:val="0"/>
        <w:pageBreakBefore w:val="0"/>
        <w:widowControl w:val="0"/>
        <w:kinsoku/>
        <w:wordWrap/>
        <w:overflowPunct/>
        <w:topLinePunct w:val="0"/>
        <w:autoSpaceDE/>
        <w:bidi w:val="0"/>
        <w:spacing w:line="620" w:lineRule="exact"/>
        <w:ind w:firstLine="616" w:firstLineChars="200"/>
        <w:textAlignment w:val="auto"/>
        <w:rPr>
          <w:rFonts w:hint="eastAsia" w:ascii="方正楷体_GBK" w:hAnsi="方正楷体_GBK" w:eastAsia="方正楷体_GBK" w:cs="方正楷体_GBK"/>
          <w:b/>
          <w:spacing w:val="-6"/>
          <w:sz w:val="32"/>
          <w:szCs w:val="32"/>
          <w:highlight w:val="none"/>
          <w:lang w:val="en-US" w:eastAsia="zh-CN"/>
        </w:rPr>
      </w:pPr>
      <w:bookmarkStart w:id="3" w:name="OLE_LINK4"/>
      <w:bookmarkStart w:id="4" w:name="OLE_LINK5"/>
      <w:r>
        <w:rPr>
          <w:rFonts w:hint="eastAsia" w:ascii="方正楷体_GBK" w:hAnsi="方正楷体_GBK" w:eastAsia="方正楷体_GBK" w:cs="方正楷体_GBK"/>
          <w:b/>
          <w:spacing w:val="-6"/>
          <w:sz w:val="32"/>
          <w:szCs w:val="32"/>
          <w:highlight w:val="none"/>
          <w:lang w:val="en-US" w:eastAsia="zh-CN"/>
        </w:rPr>
        <w:t>（四）2026年国有资本经营预算</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1.预计营收情况</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根据2025年国企10月份资产负债表，预计2026年盈利的国有企业利润为4000万元，即：泽普县汇泽国有资本运营有限公司预计实现利润5万元、泽普嘉泽城市运营有限公司预计实现利润684.3万元、泽普县盛泽工业园区管理有限公司预计实现利润172万元，泽普县润泽农业发展投资有限公司预计实现利润493万元、泽普县景泽文旅投资发展有限公司预计实现利润128.7万元、泽普县创泽城市建设投资有限公司预计实现利润2517万元。</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2.预计202</w:t>
      </w:r>
      <w:r>
        <w:rPr>
          <w:rFonts w:hint="eastAsia" w:eastAsia="方正仿宋_GBK" w:cs="Times New Roman"/>
          <w:b/>
          <w:bCs/>
          <w:sz w:val="32"/>
          <w:szCs w:val="32"/>
          <w:highlight w:val="none"/>
          <w:lang w:val="en-US" w:eastAsia="zh-CN"/>
        </w:rPr>
        <w:t>6</w:t>
      </w:r>
      <w:r>
        <w:rPr>
          <w:rFonts w:hint="default" w:ascii="Times New Roman" w:hAnsi="Times New Roman" w:eastAsia="方正仿宋_GBK" w:cs="Times New Roman"/>
          <w:b/>
          <w:bCs/>
          <w:sz w:val="32"/>
          <w:szCs w:val="32"/>
          <w:highlight w:val="none"/>
          <w:lang w:val="en-US" w:eastAsia="zh-CN"/>
        </w:rPr>
        <w:t>年国有资本经营预算收入</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按2025年企业利润的30%编制2026年国有资本经营预算收入，预计上缴国有资本经营预算收入1200万元，即：泽普县汇泽国有资本运营有限公司预计上缴2万元、泽普嘉泽城市运营有限公司预计上缴205.3万元、泽普县盛泽工业园区管理有限公司预计上缴51.6万元，泽普县润泽农业发展投资有限公司预计上缴148万元、泽普县景泽文旅投资发展有限公司预计上缴38万元、泽普县创泽城市建设投资有限公司预计上缴755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上级专项资金（2026年国有企业退休人员社会化管理补助资金）5万元。</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eastAsia"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国有资本经营预算上年结余200万元。</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3.202</w:t>
      </w:r>
      <w:r>
        <w:rPr>
          <w:rFonts w:hint="eastAsia" w:eastAsia="方正仿宋_GBK" w:cs="Times New Roman"/>
          <w:b/>
          <w:bCs/>
          <w:sz w:val="32"/>
          <w:szCs w:val="32"/>
          <w:highlight w:val="none"/>
          <w:lang w:val="en-US" w:eastAsia="zh-CN"/>
        </w:rPr>
        <w:t>6</w:t>
      </w:r>
      <w:r>
        <w:rPr>
          <w:rFonts w:hint="default" w:ascii="Times New Roman" w:hAnsi="Times New Roman" w:eastAsia="方正仿宋_GBK" w:cs="Times New Roman"/>
          <w:b/>
          <w:bCs/>
          <w:sz w:val="32"/>
          <w:szCs w:val="32"/>
          <w:highlight w:val="none"/>
          <w:lang w:val="en-US" w:eastAsia="zh-CN"/>
        </w:rPr>
        <w:t>年国有资本经营预算支出安排情况</w:t>
      </w:r>
    </w:p>
    <w:bookmarkEnd w:id="3"/>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根据要求，202</w:t>
      </w:r>
      <w:r>
        <w:rPr>
          <w:rFonts w:hint="eastAsia"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lang w:val="en-US" w:eastAsia="zh-CN"/>
        </w:rPr>
        <w:t>年国有资本经营预算收入</w:t>
      </w:r>
      <w:r>
        <w:rPr>
          <w:rFonts w:hint="eastAsia" w:eastAsia="方正仿宋_GBK" w:cs="Times New Roman"/>
          <w:sz w:val="32"/>
          <w:szCs w:val="32"/>
          <w:highlight w:val="none"/>
          <w:lang w:val="en-US" w:eastAsia="zh-CN"/>
        </w:rPr>
        <w:t>1405</w:t>
      </w:r>
      <w:r>
        <w:rPr>
          <w:rFonts w:hint="default" w:ascii="Times New Roman" w:hAnsi="Times New Roman" w:eastAsia="方正仿宋_GBK" w:cs="Times New Roman"/>
          <w:sz w:val="32"/>
          <w:szCs w:val="32"/>
          <w:highlight w:val="none"/>
          <w:lang w:val="en-US" w:eastAsia="zh-CN"/>
        </w:rPr>
        <w:t>万元，调入一般公共预算</w:t>
      </w:r>
      <w:r>
        <w:rPr>
          <w:rFonts w:hint="eastAsia" w:eastAsia="方正仿宋_GBK" w:cs="Times New Roman"/>
          <w:sz w:val="32"/>
          <w:szCs w:val="32"/>
          <w:highlight w:val="none"/>
          <w:lang w:val="en-US" w:eastAsia="zh-CN"/>
        </w:rPr>
        <w:t>400</w:t>
      </w:r>
      <w:r>
        <w:rPr>
          <w:rFonts w:hint="default" w:ascii="Times New Roman" w:hAnsi="Times New Roman" w:eastAsia="方正仿宋_GBK" w:cs="Times New Roman"/>
          <w:sz w:val="32"/>
          <w:szCs w:val="32"/>
          <w:highlight w:val="none"/>
          <w:lang w:val="en-US" w:eastAsia="zh-CN"/>
        </w:rPr>
        <w:t>万元，计划对上缴收入</w:t>
      </w:r>
      <w:r>
        <w:rPr>
          <w:rFonts w:hint="eastAsia" w:eastAsia="方正仿宋_GBK" w:cs="Times New Roman"/>
          <w:sz w:val="32"/>
          <w:szCs w:val="32"/>
          <w:highlight w:val="none"/>
          <w:lang w:val="en-US" w:eastAsia="zh-CN"/>
        </w:rPr>
        <w:t>剩余</w:t>
      </w:r>
      <w:r>
        <w:rPr>
          <w:rFonts w:hint="default" w:ascii="Times New Roman" w:hAnsi="Times New Roman" w:eastAsia="方正仿宋_GBK" w:cs="Times New Roman"/>
          <w:sz w:val="32"/>
          <w:szCs w:val="32"/>
          <w:highlight w:val="none"/>
          <w:lang w:val="en-US" w:eastAsia="zh-CN"/>
        </w:rPr>
        <w:t>部分</w:t>
      </w:r>
      <w:r>
        <w:rPr>
          <w:rFonts w:hint="eastAsia" w:eastAsia="方正仿宋_GBK" w:cs="Times New Roman"/>
          <w:sz w:val="32"/>
          <w:szCs w:val="32"/>
          <w:highlight w:val="none"/>
          <w:lang w:val="en-US" w:eastAsia="zh-CN"/>
        </w:rPr>
        <w:t>1000</w:t>
      </w:r>
      <w:r>
        <w:rPr>
          <w:rFonts w:hint="default" w:ascii="Times New Roman" w:hAnsi="Times New Roman" w:eastAsia="方正仿宋_GBK" w:cs="Times New Roman"/>
          <w:sz w:val="32"/>
          <w:szCs w:val="32"/>
          <w:highlight w:val="none"/>
          <w:lang w:val="en-US" w:eastAsia="zh-CN"/>
        </w:rPr>
        <w:t>万元用于企业发展，</w:t>
      </w:r>
      <w:r>
        <w:rPr>
          <w:rFonts w:hint="eastAsia" w:eastAsia="方正仿宋_GBK" w:cs="Times New Roman"/>
          <w:sz w:val="32"/>
          <w:szCs w:val="32"/>
          <w:highlight w:val="none"/>
          <w:lang w:val="en-US" w:eastAsia="zh-CN"/>
        </w:rPr>
        <w:t>上级专项5万元用于</w:t>
      </w:r>
      <w:r>
        <w:rPr>
          <w:rFonts w:hint="eastAsia" w:ascii="Times New Roman" w:hAnsi="Times New Roman" w:eastAsia="方正仿宋_GBK" w:cs="Times New Roman"/>
          <w:sz w:val="32"/>
          <w:szCs w:val="32"/>
          <w:highlight w:val="none"/>
          <w:lang w:val="en-US" w:eastAsia="zh-CN"/>
        </w:rPr>
        <w:t>国有企业退休人员社会化管理，</w:t>
      </w:r>
      <w:r>
        <w:rPr>
          <w:rFonts w:hint="default" w:ascii="Times New Roman" w:hAnsi="Times New Roman" w:eastAsia="方正仿宋_GBK" w:cs="Times New Roman"/>
          <w:sz w:val="32"/>
          <w:szCs w:val="32"/>
          <w:highlight w:val="none"/>
          <w:lang w:val="en-US" w:eastAsia="zh-CN"/>
        </w:rPr>
        <w:t>收支平衡。</w:t>
      </w:r>
    </w:p>
    <w:bookmarkEnd w:id="4"/>
    <w:p>
      <w:pPr>
        <w:keepNext w:val="0"/>
        <w:keepLines w:val="0"/>
        <w:pageBreakBefore w:val="0"/>
        <w:widowControl w:val="0"/>
        <w:kinsoku/>
        <w:wordWrap/>
        <w:overflowPunct/>
        <w:topLinePunct w:val="0"/>
        <w:autoSpaceDE/>
        <w:bidi w:val="0"/>
        <w:spacing w:line="620" w:lineRule="exact"/>
        <w:ind w:firstLine="616" w:firstLineChars="200"/>
        <w:textAlignment w:val="auto"/>
        <w:rPr>
          <w:rFonts w:hint="default" w:ascii="Times New Roman" w:hAnsi="Times New Roman" w:eastAsia="方正仿宋_GBK" w:cs="Times New Roman"/>
          <w:b/>
          <w:spacing w:val="-6"/>
          <w:sz w:val="32"/>
          <w:szCs w:val="32"/>
          <w:highlight w:val="none"/>
          <w:lang w:val="en-US" w:eastAsia="zh-CN"/>
        </w:rPr>
      </w:pPr>
      <w:r>
        <w:rPr>
          <w:rFonts w:hint="eastAsia" w:ascii="方正楷体_GBK" w:hAnsi="方正楷体_GBK" w:eastAsia="方正楷体_GBK" w:cs="方正楷体_GBK"/>
          <w:b/>
          <w:spacing w:val="-6"/>
          <w:sz w:val="32"/>
          <w:szCs w:val="32"/>
          <w:highlight w:val="none"/>
          <w:lang w:val="en-US" w:eastAsia="zh-CN"/>
        </w:rPr>
        <w:t>（五）社保基金预算</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color w:val="auto"/>
          <w:kern w:val="0"/>
          <w:sz w:val="32"/>
          <w:szCs w:val="32"/>
          <w:highlight w:val="none"/>
          <w:lang w:eastAsia="zh-CN"/>
        </w:rPr>
      </w:pPr>
      <w:r>
        <w:rPr>
          <w:rFonts w:hint="default" w:ascii="Times New Roman" w:hAnsi="Times New Roman" w:eastAsia="方正仿宋_GBK" w:cs="Times New Roman"/>
          <w:color w:val="auto"/>
          <w:kern w:val="0"/>
          <w:sz w:val="32"/>
          <w:szCs w:val="32"/>
          <w:highlight w:val="none"/>
          <w:lang w:eastAsia="zh-CN"/>
        </w:rPr>
        <w:t>202</w:t>
      </w:r>
      <w:r>
        <w:rPr>
          <w:rFonts w:hint="eastAsia" w:eastAsia="方正仿宋_GBK" w:cs="Times New Roman"/>
          <w:color w:val="auto"/>
          <w:kern w:val="0"/>
          <w:sz w:val="32"/>
          <w:szCs w:val="32"/>
          <w:highlight w:val="none"/>
          <w:lang w:val="en-US" w:eastAsia="zh-CN"/>
        </w:rPr>
        <w:t>6</w:t>
      </w:r>
      <w:r>
        <w:rPr>
          <w:rFonts w:hint="default" w:ascii="Times New Roman" w:hAnsi="Times New Roman" w:eastAsia="方正仿宋_GBK" w:cs="Times New Roman"/>
          <w:color w:val="auto"/>
          <w:kern w:val="0"/>
          <w:sz w:val="32"/>
          <w:szCs w:val="32"/>
          <w:highlight w:val="none"/>
          <w:lang w:eastAsia="zh-CN"/>
        </w:rPr>
        <w:t>年，泽普县社会保险基金预算总收入</w:t>
      </w:r>
      <w:r>
        <w:rPr>
          <w:rFonts w:hint="eastAsia" w:eastAsia="方正仿宋_GBK" w:cs="Times New Roman"/>
          <w:color w:val="auto"/>
          <w:kern w:val="0"/>
          <w:sz w:val="32"/>
          <w:szCs w:val="32"/>
          <w:highlight w:val="none"/>
          <w:lang w:val="en-US" w:eastAsia="zh-CN"/>
        </w:rPr>
        <w:t>10100.21</w:t>
      </w:r>
      <w:r>
        <w:rPr>
          <w:rFonts w:hint="default" w:ascii="Times New Roman" w:hAnsi="Times New Roman" w:eastAsia="方正仿宋_GBK" w:cs="Times New Roman"/>
          <w:color w:val="auto"/>
          <w:kern w:val="0"/>
          <w:sz w:val="32"/>
          <w:szCs w:val="32"/>
          <w:highlight w:val="none"/>
          <w:lang w:eastAsia="zh-CN"/>
        </w:rPr>
        <w:t>万元，预算总支出</w:t>
      </w:r>
      <w:r>
        <w:rPr>
          <w:rFonts w:hint="eastAsia" w:eastAsia="方正仿宋_GBK" w:cs="Times New Roman"/>
          <w:color w:val="auto"/>
          <w:kern w:val="0"/>
          <w:sz w:val="32"/>
          <w:szCs w:val="32"/>
          <w:highlight w:val="none"/>
          <w:lang w:val="en-US" w:eastAsia="zh-CN"/>
        </w:rPr>
        <w:t>5788.49</w:t>
      </w:r>
      <w:r>
        <w:rPr>
          <w:rFonts w:hint="default" w:ascii="Times New Roman" w:hAnsi="Times New Roman" w:eastAsia="方正仿宋_GBK" w:cs="Times New Roman"/>
          <w:color w:val="auto"/>
          <w:kern w:val="0"/>
          <w:sz w:val="32"/>
          <w:szCs w:val="32"/>
          <w:highlight w:val="none"/>
          <w:lang w:eastAsia="zh-CN"/>
        </w:rPr>
        <w:t>万元，预算本年收支结余</w:t>
      </w:r>
      <w:r>
        <w:rPr>
          <w:rFonts w:hint="eastAsia" w:eastAsia="方正仿宋_GBK" w:cs="Times New Roman"/>
          <w:color w:val="auto"/>
          <w:kern w:val="0"/>
          <w:sz w:val="32"/>
          <w:szCs w:val="32"/>
          <w:highlight w:val="none"/>
          <w:lang w:val="en-US" w:eastAsia="zh-CN"/>
        </w:rPr>
        <w:t>4311.72</w:t>
      </w:r>
      <w:r>
        <w:rPr>
          <w:rFonts w:hint="default" w:ascii="Times New Roman" w:hAnsi="Times New Roman" w:eastAsia="方正仿宋_GBK" w:cs="Times New Roman"/>
          <w:color w:val="auto"/>
          <w:kern w:val="0"/>
          <w:sz w:val="32"/>
          <w:szCs w:val="32"/>
          <w:highlight w:val="none"/>
          <w:lang w:eastAsia="zh-CN"/>
        </w:rPr>
        <w:t>万元，预算年末滚存结余</w:t>
      </w:r>
      <w:r>
        <w:rPr>
          <w:rFonts w:hint="eastAsia" w:eastAsia="方正仿宋_GBK" w:cs="Times New Roman"/>
          <w:color w:val="auto"/>
          <w:kern w:val="0"/>
          <w:sz w:val="32"/>
          <w:szCs w:val="32"/>
          <w:highlight w:val="none"/>
          <w:lang w:val="en-US" w:eastAsia="zh-CN"/>
        </w:rPr>
        <w:t>32598.25</w:t>
      </w:r>
      <w:r>
        <w:rPr>
          <w:rFonts w:hint="default" w:ascii="Times New Roman" w:hAnsi="Times New Roman" w:eastAsia="方正仿宋_GBK" w:cs="Times New Roman"/>
          <w:color w:val="auto"/>
          <w:kern w:val="0"/>
          <w:sz w:val="32"/>
          <w:szCs w:val="32"/>
          <w:highlight w:val="none"/>
          <w:lang w:eastAsia="zh-CN"/>
        </w:rPr>
        <w:t>万元。分项情况如下：</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方正仿宋_GBK" w:cs="Times New Roman"/>
          <w:color w:val="auto"/>
          <w:kern w:val="0"/>
          <w:sz w:val="32"/>
          <w:szCs w:val="32"/>
          <w:highlight w:val="none"/>
          <w:lang w:eastAsia="zh-CN"/>
        </w:rPr>
        <w:t>本年预算收入</w:t>
      </w:r>
      <w:r>
        <w:rPr>
          <w:rFonts w:hint="eastAsia" w:eastAsia="方正仿宋_GBK" w:cs="Times New Roman"/>
          <w:color w:val="auto"/>
          <w:kern w:val="0"/>
          <w:sz w:val="32"/>
          <w:szCs w:val="32"/>
          <w:highlight w:val="none"/>
          <w:lang w:val="en-US" w:eastAsia="zh-CN"/>
        </w:rPr>
        <w:t>10100.21</w:t>
      </w:r>
      <w:r>
        <w:rPr>
          <w:rFonts w:hint="default" w:ascii="Times New Roman" w:hAnsi="Times New Roman" w:eastAsia="方正仿宋_GBK" w:cs="Times New Roman"/>
          <w:color w:val="auto"/>
          <w:kern w:val="0"/>
          <w:sz w:val="32"/>
          <w:szCs w:val="32"/>
          <w:highlight w:val="none"/>
          <w:lang w:eastAsia="zh-CN"/>
        </w:rPr>
        <w:t>万元，其中：基本养老保险费收入</w:t>
      </w:r>
      <w:r>
        <w:rPr>
          <w:rFonts w:hint="eastAsia" w:eastAsia="方正仿宋_GBK" w:cs="Times New Roman"/>
          <w:color w:val="auto"/>
          <w:kern w:val="0"/>
          <w:sz w:val="32"/>
          <w:szCs w:val="32"/>
          <w:highlight w:val="none"/>
          <w:lang w:val="en-US" w:eastAsia="zh-CN"/>
        </w:rPr>
        <w:t>3796.26</w:t>
      </w:r>
      <w:r>
        <w:rPr>
          <w:rFonts w:hint="default" w:ascii="Times New Roman" w:hAnsi="Times New Roman" w:eastAsia="方正仿宋_GBK" w:cs="Times New Roman"/>
          <w:color w:val="auto"/>
          <w:kern w:val="0"/>
          <w:sz w:val="32"/>
          <w:szCs w:val="32"/>
          <w:highlight w:val="none"/>
          <w:lang w:eastAsia="zh-CN"/>
        </w:rPr>
        <w:t>万元，财政补贴收入</w:t>
      </w:r>
      <w:r>
        <w:rPr>
          <w:rFonts w:hint="eastAsia" w:eastAsia="方正仿宋_GBK" w:cs="Times New Roman"/>
          <w:color w:val="auto"/>
          <w:kern w:val="0"/>
          <w:sz w:val="32"/>
          <w:szCs w:val="32"/>
          <w:highlight w:val="none"/>
          <w:lang w:val="en-US" w:eastAsia="zh-CN"/>
        </w:rPr>
        <w:t>867.85</w:t>
      </w:r>
      <w:r>
        <w:rPr>
          <w:rFonts w:hint="default" w:ascii="Times New Roman" w:hAnsi="Times New Roman" w:eastAsia="方正仿宋_GBK" w:cs="Times New Roman"/>
          <w:color w:val="auto"/>
          <w:kern w:val="0"/>
          <w:sz w:val="32"/>
          <w:szCs w:val="32"/>
          <w:highlight w:val="none"/>
          <w:lang w:eastAsia="zh-CN"/>
        </w:rPr>
        <w:t>万元。本年预算支出</w:t>
      </w:r>
      <w:r>
        <w:rPr>
          <w:rFonts w:hint="eastAsia" w:eastAsia="方正仿宋_GBK" w:cs="Times New Roman"/>
          <w:color w:val="auto"/>
          <w:kern w:val="0"/>
          <w:sz w:val="32"/>
          <w:szCs w:val="32"/>
          <w:highlight w:val="none"/>
          <w:lang w:val="en-US" w:eastAsia="zh-CN"/>
        </w:rPr>
        <w:t>5788.49</w:t>
      </w:r>
      <w:r>
        <w:rPr>
          <w:rFonts w:hint="default" w:ascii="Times New Roman" w:hAnsi="Times New Roman" w:eastAsia="方正仿宋_GBK" w:cs="Times New Roman"/>
          <w:color w:val="auto"/>
          <w:kern w:val="0"/>
          <w:sz w:val="32"/>
          <w:szCs w:val="32"/>
          <w:highlight w:val="none"/>
          <w:lang w:eastAsia="zh-CN"/>
        </w:rPr>
        <w:t>万元，其中</w:t>
      </w:r>
      <w:r>
        <w:rPr>
          <w:rFonts w:hint="eastAsia" w:eastAsia="方正仿宋_GBK" w:cs="Times New Roman"/>
          <w:color w:val="auto"/>
          <w:kern w:val="0"/>
          <w:sz w:val="32"/>
          <w:szCs w:val="32"/>
          <w:highlight w:val="none"/>
          <w:lang w:eastAsia="zh-CN"/>
        </w:rPr>
        <w:t>：</w:t>
      </w:r>
      <w:r>
        <w:rPr>
          <w:rFonts w:hint="default" w:ascii="Times New Roman" w:hAnsi="Times New Roman" w:eastAsia="方正仿宋_GBK" w:cs="Times New Roman"/>
          <w:color w:val="auto"/>
          <w:kern w:val="0"/>
          <w:sz w:val="32"/>
          <w:szCs w:val="32"/>
          <w:highlight w:val="none"/>
          <w:lang w:eastAsia="zh-CN"/>
        </w:rPr>
        <w:t>基本养老金支出</w:t>
      </w:r>
      <w:r>
        <w:rPr>
          <w:rFonts w:hint="eastAsia" w:eastAsia="方正仿宋_GBK" w:cs="Times New Roman"/>
          <w:color w:val="auto"/>
          <w:kern w:val="0"/>
          <w:sz w:val="32"/>
          <w:szCs w:val="32"/>
          <w:highlight w:val="none"/>
          <w:lang w:val="en-US" w:eastAsia="zh-CN"/>
        </w:rPr>
        <w:t>5754.33</w:t>
      </w:r>
      <w:r>
        <w:rPr>
          <w:rFonts w:hint="default" w:ascii="Times New Roman" w:hAnsi="Times New Roman" w:eastAsia="方正仿宋_GBK" w:cs="Times New Roman"/>
          <w:color w:val="auto"/>
          <w:kern w:val="0"/>
          <w:sz w:val="32"/>
          <w:szCs w:val="32"/>
          <w:highlight w:val="none"/>
          <w:lang w:eastAsia="zh-CN"/>
        </w:rPr>
        <w:t>万元。预算本年收支结余</w:t>
      </w:r>
      <w:r>
        <w:rPr>
          <w:rFonts w:hint="eastAsia" w:eastAsia="方正仿宋_GBK" w:cs="Times New Roman"/>
          <w:color w:val="auto"/>
          <w:kern w:val="0"/>
          <w:sz w:val="32"/>
          <w:szCs w:val="32"/>
          <w:highlight w:val="none"/>
          <w:lang w:val="en-US" w:eastAsia="zh-CN"/>
        </w:rPr>
        <w:t>4311.72</w:t>
      </w:r>
      <w:r>
        <w:rPr>
          <w:rFonts w:hint="default" w:ascii="Times New Roman" w:hAnsi="Times New Roman" w:eastAsia="方正仿宋_GBK" w:cs="Times New Roman"/>
          <w:color w:val="auto"/>
          <w:kern w:val="0"/>
          <w:sz w:val="32"/>
          <w:szCs w:val="32"/>
          <w:highlight w:val="none"/>
          <w:lang w:eastAsia="zh-CN"/>
        </w:rPr>
        <w:t>万元，预算年末滚存结余</w:t>
      </w:r>
      <w:r>
        <w:rPr>
          <w:rFonts w:hint="eastAsia" w:eastAsia="方正仿宋_GBK" w:cs="Times New Roman"/>
          <w:color w:val="auto"/>
          <w:kern w:val="0"/>
          <w:sz w:val="32"/>
          <w:szCs w:val="32"/>
          <w:highlight w:val="none"/>
          <w:lang w:val="en-US" w:eastAsia="zh-CN"/>
        </w:rPr>
        <w:t>32598.25</w:t>
      </w:r>
      <w:r>
        <w:rPr>
          <w:rFonts w:hint="default" w:ascii="Times New Roman" w:hAnsi="Times New Roman" w:eastAsia="方正仿宋_GBK" w:cs="Times New Roman"/>
          <w:color w:val="auto"/>
          <w:kern w:val="0"/>
          <w:sz w:val="32"/>
          <w:szCs w:val="32"/>
          <w:highlight w:val="none"/>
          <w:lang w:eastAsia="zh-CN"/>
        </w:rPr>
        <w:t>万元。</w:t>
      </w:r>
    </w:p>
    <w:p>
      <w:pPr>
        <w:widowControl/>
        <w:jc w:val="center"/>
        <w:outlineLvl w:val="1"/>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第二部分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Hans"/>
        </w:rPr>
        <w:t>“四本”预算公开表</w:t>
      </w:r>
    </w:p>
    <w:p>
      <w:pPr>
        <w:numPr>
          <w:ilvl w:val="0"/>
          <w:numId w:val="0"/>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t>一、一般公共预算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tbl>
      <w:tblPr>
        <w:tblStyle w:val="8"/>
        <w:tblW w:w="81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3645"/>
        <w:gridCol w:w="1080"/>
        <w:gridCol w:w="1080"/>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表1</w:t>
            </w:r>
          </w:p>
        </w:tc>
        <w:tc>
          <w:tcPr>
            <w:tcW w:w="3645"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c>
          <w:tcPr>
            <w:tcW w:w="1275"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816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w:t>
            </w:r>
            <w:r>
              <w:rPr>
                <w:rFonts w:hint="eastAsia" w:ascii="Times New Roman" w:hAnsi="Times New Roman" w:eastAsia="宋体" w:cs="Times New Roman"/>
                <w:b/>
                <w:bCs/>
                <w:i w:val="0"/>
                <w:iCs w:val="0"/>
                <w:color w:val="000000"/>
                <w:kern w:val="0"/>
                <w:sz w:val="20"/>
                <w:szCs w:val="20"/>
                <w:u w:val="none"/>
                <w:lang w:val="en-US" w:eastAsia="zh-CN" w:bidi="ar"/>
              </w:rPr>
              <w:t>6</w:t>
            </w:r>
            <w:r>
              <w:rPr>
                <w:rFonts w:hint="default" w:ascii="Times New Roman" w:hAnsi="Times New Roman" w:eastAsia="宋体" w:cs="Times New Roman"/>
                <w:b/>
                <w:bCs/>
                <w:i w:val="0"/>
                <w:iCs w:val="0"/>
                <w:color w:val="000000"/>
                <w:kern w:val="0"/>
                <w:sz w:val="20"/>
                <w:szCs w:val="20"/>
                <w:u w:val="none"/>
                <w:lang w:val="en-US" w:eastAsia="zh-CN" w:bidi="ar"/>
              </w:rPr>
              <w:t>年泽普县一般公共预算收入表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11"/>
                <w:szCs w:val="11"/>
                <w:u w:val="none"/>
              </w:rPr>
            </w:pPr>
          </w:p>
        </w:tc>
        <w:tc>
          <w:tcPr>
            <w:tcW w:w="3645"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11"/>
                <w:szCs w:val="11"/>
                <w:u w:val="none"/>
              </w:rPr>
            </w:pPr>
          </w:p>
        </w:tc>
        <w:tc>
          <w:tcPr>
            <w:tcW w:w="1080"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11"/>
                <w:szCs w:val="11"/>
                <w:u w:val="none"/>
              </w:rPr>
            </w:pPr>
          </w:p>
        </w:tc>
        <w:tc>
          <w:tcPr>
            <w:tcW w:w="1080"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11"/>
                <w:szCs w:val="11"/>
                <w:u w:val="none"/>
              </w:rPr>
            </w:pPr>
          </w:p>
        </w:tc>
        <w:tc>
          <w:tcPr>
            <w:tcW w:w="127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3645" w:type="dxa"/>
            <w:tcBorders>
              <w:top w:val="single" w:color="000000" w:sz="8" w:space="0"/>
              <w:left w:val="nil"/>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080" w:type="dxa"/>
            <w:tcBorders>
              <w:top w:val="single" w:color="000000" w:sz="8" w:space="0"/>
              <w:left w:val="nil"/>
              <w:bottom w:val="nil"/>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w:t>
            </w:r>
            <w:r>
              <w:rPr>
                <w:rFonts w:hint="eastAsia" w:ascii="Times New Roman" w:hAnsi="Times New Roman" w:eastAsia="宋体" w:cs="Times New Roman"/>
                <w:b/>
                <w:bCs/>
                <w:i w:val="0"/>
                <w:iCs w:val="0"/>
                <w:color w:val="000000"/>
                <w:kern w:val="0"/>
                <w:sz w:val="20"/>
                <w:szCs w:val="20"/>
                <w:u w:val="none"/>
                <w:lang w:val="en-US" w:eastAsia="zh-CN" w:bidi="ar"/>
              </w:rPr>
              <w:t>5</w:t>
            </w:r>
            <w:r>
              <w:rPr>
                <w:rFonts w:hint="default" w:ascii="Times New Roman" w:hAnsi="Times New Roman" w:eastAsia="宋体" w:cs="Times New Roman"/>
                <w:b/>
                <w:bCs/>
                <w:i w:val="0"/>
                <w:iCs w:val="0"/>
                <w:color w:val="000000"/>
                <w:kern w:val="0"/>
                <w:sz w:val="20"/>
                <w:szCs w:val="20"/>
                <w:u w:val="none"/>
                <w:lang w:val="en-US" w:eastAsia="zh-CN" w:bidi="ar"/>
              </w:rPr>
              <w:t>年预算数</w:t>
            </w:r>
          </w:p>
        </w:tc>
        <w:tc>
          <w:tcPr>
            <w:tcW w:w="1080" w:type="dxa"/>
            <w:tcBorders>
              <w:top w:val="single" w:color="000000" w:sz="8" w:space="0"/>
              <w:left w:val="nil"/>
              <w:bottom w:val="nil"/>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w:t>
            </w:r>
            <w:r>
              <w:rPr>
                <w:rFonts w:hint="eastAsia" w:ascii="Times New Roman" w:hAnsi="Times New Roman" w:eastAsia="宋体" w:cs="Times New Roman"/>
                <w:b/>
                <w:bCs/>
                <w:i w:val="0"/>
                <w:iCs w:val="0"/>
                <w:color w:val="000000"/>
                <w:kern w:val="0"/>
                <w:sz w:val="20"/>
                <w:szCs w:val="20"/>
                <w:u w:val="none"/>
                <w:lang w:val="en-US" w:eastAsia="zh-CN" w:bidi="ar"/>
              </w:rPr>
              <w:t>6</w:t>
            </w:r>
            <w:r>
              <w:rPr>
                <w:rFonts w:hint="default" w:ascii="Times New Roman" w:hAnsi="Times New Roman" w:eastAsia="宋体" w:cs="Times New Roman"/>
                <w:b/>
                <w:bCs/>
                <w:i w:val="0"/>
                <w:iCs w:val="0"/>
                <w:color w:val="000000"/>
                <w:kern w:val="0"/>
                <w:sz w:val="20"/>
                <w:szCs w:val="20"/>
                <w:u w:val="none"/>
                <w:lang w:val="en-US" w:eastAsia="zh-CN" w:bidi="ar"/>
              </w:rPr>
              <w:t>年预算数</w:t>
            </w:r>
          </w:p>
        </w:tc>
        <w:tc>
          <w:tcPr>
            <w:tcW w:w="1275"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比上年预算数增 (减)%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101</w:t>
            </w:r>
          </w:p>
        </w:tc>
        <w:tc>
          <w:tcPr>
            <w:tcW w:w="3645" w:type="dxa"/>
            <w:tcBorders>
              <w:top w:val="single" w:color="000000" w:sz="8" w:space="0"/>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税收收入</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17369</w:t>
            </w:r>
          </w:p>
        </w:tc>
        <w:tc>
          <w:tcPr>
            <w:tcW w:w="1080" w:type="dxa"/>
            <w:tcBorders>
              <w:top w:val="single" w:color="000000" w:sz="8" w:space="0"/>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14577</w:t>
            </w:r>
          </w:p>
        </w:tc>
        <w:tc>
          <w:tcPr>
            <w:tcW w:w="1275" w:type="dxa"/>
            <w:tcBorders>
              <w:top w:val="single" w:color="000000" w:sz="8" w:space="0"/>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-16.07%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10101</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增值税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4324</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3279</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-24.17%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10104</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企业所得税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825</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536</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-35.03%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10106</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个人所得税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1270</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796</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-37.32%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10107</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资源税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228</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10109</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城市维护建设税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825</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539</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10110</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房产税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760</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719</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10111</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印花税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290</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294</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1080" w:type="dxa"/>
            <w:tcBorders>
              <w:top w:val="nil"/>
              <w:left w:val="single" w:color="000000" w:sz="8"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10112</w:t>
            </w:r>
          </w:p>
        </w:tc>
        <w:tc>
          <w:tcPr>
            <w:tcW w:w="3645" w:type="dxa"/>
            <w:tcBorders>
              <w:top w:val="nil"/>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城镇土地使用税</w:t>
            </w:r>
          </w:p>
        </w:tc>
        <w:tc>
          <w:tcPr>
            <w:tcW w:w="1080" w:type="dxa"/>
            <w:tcBorders>
              <w:top w:val="nil"/>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5387</w:t>
            </w:r>
          </w:p>
        </w:tc>
        <w:tc>
          <w:tcPr>
            <w:tcW w:w="1080" w:type="dxa"/>
            <w:tcBorders>
              <w:top w:val="nil"/>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4981</w:t>
            </w:r>
          </w:p>
        </w:tc>
        <w:tc>
          <w:tcPr>
            <w:tcW w:w="1275" w:type="dxa"/>
            <w:tcBorders>
              <w:top w:val="nil"/>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-7.54%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auto" w:sz="4"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10113</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土地增值税</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1558</w:t>
            </w: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905</w:t>
            </w:r>
          </w:p>
        </w:tc>
        <w:tc>
          <w:tcPr>
            <w:tcW w:w="1275" w:type="dxa"/>
            <w:tcBorders>
              <w:top w:val="single" w:color="auto" w:sz="4" w:space="0"/>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-41.91%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10114</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车船税</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1276</w:t>
            </w: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1458</w:t>
            </w:r>
          </w:p>
        </w:tc>
        <w:tc>
          <w:tcPr>
            <w:tcW w:w="1275"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14.26%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auto" w:sz="4"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10118</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耕地占用税</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126</w:t>
            </w: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361</w:t>
            </w:r>
          </w:p>
        </w:tc>
        <w:tc>
          <w:tcPr>
            <w:tcW w:w="1275" w:type="dxa"/>
            <w:tcBorders>
              <w:top w:val="single" w:color="auto" w:sz="4" w:space="0"/>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186.51%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10119</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契税</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690</w:t>
            </w: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481</w:t>
            </w:r>
          </w:p>
        </w:tc>
        <w:tc>
          <w:tcPr>
            <w:tcW w:w="1275"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auto" w:sz="4"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10120</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烟叶税</w:t>
            </w: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275" w:type="dxa"/>
            <w:tcBorders>
              <w:top w:val="single" w:color="auto" w:sz="4" w:space="0"/>
              <w:left w:val="nil"/>
              <w:bottom w:val="single" w:color="auto" w:sz="4" w:space="0"/>
              <w:right w:val="single" w:color="auto"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1080" w:type="dxa"/>
            <w:tcBorders>
              <w:top w:val="single" w:color="auto" w:sz="4"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10121</w:t>
            </w:r>
          </w:p>
        </w:tc>
        <w:tc>
          <w:tcPr>
            <w:tcW w:w="3645" w:type="dxa"/>
            <w:tcBorders>
              <w:top w:val="single" w:color="auto" w:sz="4" w:space="0"/>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环境保护税</w:t>
            </w:r>
          </w:p>
        </w:tc>
        <w:tc>
          <w:tcPr>
            <w:tcW w:w="1080" w:type="dxa"/>
            <w:tcBorders>
              <w:top w:val="single" w:color="auto" w:sz="4" w:space="0"/>
              <w:left w:val="nil"/>
              <w:bottom w:val="single" w:color="000000" w:sz="8"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c>
          <w:tcPr>
            <w:tcW w:w="1080" w:type="dxa"/>
            <w:tcBorders>
              <w:top w:val="single" w:color="auto" w:sz="4" w:space="0"/>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275" w:type="dxa"/>
            <w:tcBorders>
              <w:top w:val="single" w:color="auto" w:sz="4" w:space="0"/>
              <w:left w:val="nil"/>
              <w:bottom w:val="single" w:color="000000" w:sz="8" w:space="0"/>
              <w:right w:val="single" w:color="000000" w:sz="8"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10199</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其他税收收入</w:t>
            </w:r>
          </w:p>
        </w:tc>
        <w:tc>
          <w:tcPr>
            <w:tcW w:w="1080" w:type="dxa"/>
            <w:tcBorders>
              <w:top w:val="nil"/>
              <w:left w:val="nil"/>
              <w:bottom w:val="single" w:color="000000" w:sz="8"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275" w:type="dxa"/>
            <w:tcBorders>
              <w:top w:val="nil"/>
              <w:left w:val="nil"/>
              <w:bottom w:val="single" w:color="000000" w:sz="8" w:space="0"/>
              <w:right w:val="single" w:color="000000" w:sz="8"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非税收入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10691</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18499</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73.03%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10302</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专项收入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1084</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650</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10304</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行政事业性收费收入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164</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1159</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606.71%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10305</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罚没收入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1115</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543</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10306</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国有资本经营收入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275" w:type="dxa"/>
            <w:tcBorders>
              <w:top w:val="nil"/>
              <w:left w:val="nil"/>
              <w:bottom w:val="single" w:color="000000" w:sz="8" w:space="0"/>
              <w:right w:val="single" w:color="000000" w:sz="8"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10307</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国有资源（资产）有偿使用收入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5791</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12903</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122.81%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10308</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捐赠收入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1588</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1454</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-8.44%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10309</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政府住房基金收入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902</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1744</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93.35%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10399</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其他收入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46</w:t>
            </w:r>
          </w:p>
        </w:tc>
        <w:tc>
          <w:tcPr>
            <w:tcW w:w="1275"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725" w:type="dxa"/>
            <w:gridSpan w:val="2"/>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eastAsia" w:eastAsia="仿宋_GB2312" w:cs="Times New Roman"/>
                <w:b/>
                <w:bCs/>
                <w:i w:val="0"/>
                <w:iCs w:val="0"/>
                <w:color w:val="000000"/>
                <w:kern w:val="0"/>
                <w:sz w:val="22"/>
                <w:szCs w:val="22"/>
                <w:u w:val="none"/>
                <w:lang w:val="en-US" w:eastAsia="zh-CN" w:bidi="ar"/>
              </w:rPr>
              <w:t>一般公共</w:t>
            </w:r>
            <w:r>
              <w:rPr>
                <w:rFonts w:hint="default" w:ascii="Times New Roman" w:hAnsi="Times New Roman" w:eastAsia="仿宋_GB2312" w:cs="Times New Roman"/>
                <w:b/>
                <w:bCs/>
                <w:i w:val="0"/>
                <w:iCs w:val="0"/>
                <w:color w:val="000000"/>
                <w:kern w:val="0"/>
                <w:sz w:val="22"/>
                <w:szCs w:val="22"/>
                <w:u w:val="none"/>
                <w:lang w:val="en-US" w:eastAsia="zh-CN" w:bidi="ar"/>
              </w:rPr>
              <w:t>收入总计</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28060</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eastAsia" w:ascii="Times New Roman" w:hAnsi="Times New Roman" w:eastAsia="宋体" w:cs="Times New Roman"/>
                <w:b/>
                <w:bCs/>
                <w:i w:val="0"/>
                <w:iCs w:val="0"/>
                <w:color w:val="000000"/>
                <w:kern w:val="0"/>
                <w:sz w:val="20"/>
                <w:szCs w:val="20"/>
                <w:u w:val="none"/>
                <w:lang w:val="en-US" w:eastAsia="zh-CN" w:bidi="ar"/>
              </w:rPr>
              <w:t>33076</w:t>
            </w:r>
          </w:p>
        </w:tc>
        <w:tc>
          <w:tcPr>
            <w:tcW w:w="127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eastAsia" w:ascii="Times New Roman" w:hAnsi="Times New Roman" w:eastAsia="宋体" w:cs="Times New Roman"/>
                <w:b/>
                <w:bCs/>
                <w:i w:val="0"/>
                <w:iCs w:val="0"/>
                <w:color w:val="000000"/>
                <w:kern w:val="0"/>
                <w:sz w:val="20"/>
                <w:szCs w:val="20"/>
                <w:u w:val="none"/>
                <w:lang w:val="en-US" w:eastAsia="zh-CN" w:bidi="ar"/>
              </w:rPr>
              <w:t>17.88%</w:t>
            </w:r>
          </w:p>
        </w:tc>
      </w:tr>
    </w:tbl>
    <w:p>
      <w:pPr>
        <w:pStyle w:val="2"/>
        <w:rPr>
          <w:rFonts w:hint="default"/>
          <w:lang w:val="en-US" w:eastAsia="zh-Hans"/>
        </w:rPr>
      </w:pPr>
    </w:p>
    <w:p>
      <w:pPr>
        <w:rPr>
          <w:rFonts w:hint="default"/>
          <w:lang w:val="en-US" w:eastAsia="zh-Hans"/>
        </w:rPr>
      </w:pPr>
    </w:p>
    <w:p>
      <w:pPr>
        <w:pStyle w:val="3"/>
        <w:rPr>
          <w:rFonts w:hint="default"/>
          <w:lang w:val="en-US" w:eastAsia="zh-Hans"/>
        </w:rPr>
      </w:pPr>
    </w:p>
    <w:p>
      <w:pPr>
        <w:rPr>
          <w:rFonts w:hint="default"/>
          <w:lang w:val="en-US" w:eastAsia="zh-Hans"/>
        </w:rPr>
      </w:pPr>
    </w:p>
    <w:tbl>
      <w:tblPr>
        <w:tblStyle w:val="8"/>
        <w:tblW w:w="103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4670"/>
        <w:gridCol w:w="1525"/>
        <w:gridCol w:w="1485"/>
        <w:gridCol w:w="15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80" w:type="dxa"/>
            <w:tcBorders>
              <w:top w:val="nil"/>
              <w:left w:val="nil"/>
              <w:bottom w:val="nil"/>
              <w:right w:val="nil"/>
            </w:tcBorders>
            <w:shd w:val="clear" w:color="auto" w:fill="FFFFFF"/>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Times New Roman" w:hAnsi="Times New Roman" w:eastAsia="宋体" w:cs="Times New Roman"/>
                <w:i w:val="0"/>
                <w:color w:val="000000"/>
                <w:kern w:val="0"/>
                <w:sz w:val="20"/>
                <w:szCs w:val="20"/>
                <w:highlight w:val="none"/>
                <w:u w:val="none"/>
                <w:lang w:val="en-US" w:eastAsia="zh-CN" w:bidi="ar"/>
              </w:rPr>
              <w:t>表2</w:t>
            </w:r>
          </w:p>
        </w:tc>
        <w:tc>
          <w:tcPr>
            <w:tcW w:w="4670"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525" w:type="dxa"/>
            <w:tcBorders>
              <w:top w:val="nil"/>
              <w:left w:val="nil"/>
              <w:bottom w:val="nil"/>
              <w:right w:val="nil"/>
            </w:tcBorders>
            <w:shd w:val="clear" w:color="auto" w:fill="FFFFFF"/>
            <w:noWrap/>
            <w:vAlign w:val="bottom"/>
          </w:tcPr>
          <w:p>
            <w:pPr>
              <w:jc w:val="center"/>
              <w:rPr>
                <w:rFonts w:hint="eastAsia" w:ascii="宋体" w:hAnsi="宋体" w:eastAsia="宋体" w:cs="宋体"/>
                <w:i w:val="0"/>
                <w:iCs w:val="0"/>
                <w:color w:val="000000"/>
                <w:sz w:val="24"/>
                <w:szCs w:val="24"/>
                <w:u w:val="none"/>
              </w:rPr>
            </w:pPr>
          </w:p>
        </w:tc>
        <w:tc>
          <w:tcPr>
            <w:tcW w:w="1485" w:type="dxa"/>
            <w:tcBorders>
              <w:top w:val="nil"/>
              <w:left w:val="nil"/>
              <w:bottom w:val="nil"/>
              <w:right w:val="nil"/>
            </w:tcBorders>
            <w:shd w:val="clear" w:color="auto" w:fill="FFFFFF"/>
            <w:noWrap/>
            <w:vAlign w:val="bottom"/>
          </w:tcPr>
          <w:p>
            <w:pPr>
              <w:jc w:val="center"/>
              <w:rPr>
                <w:rFonts w:hint="eastAsia" w:ascii="宋体" w:hAnsi="宋体" w:eastAsia="宋体" w:cs="宋体"/>
                <w:i w:val="0"/>
                <w:iCs w:val="0"/>
                <w:color w:val="000000"/>
                <w:sz w:val="24"/>
                <w:szCs w:val="24"/>
                <w:u w:val="none"/>
              </w:rPr>
            </w:pPr>
          </w:p>
        </w:tc>
        <w:tc>
          <w:tcPr>
            <w:tcW w:w="1593" w:type="dxa"/>
            <w:tcBorders>
              <w:top w:val="nil"/>
              <w:left w:val="nil"/>
              <w:bottom w:val="nil"/>
              <w:right w:val="nil"/>
            </w:tcBorders>
            <w:shd w:val="clear" w:color="auto" w:fill="FFFFFF"/>
            <w:noWrap/>
            <w:vAlign w:val="bottom"/>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353" w:type="dxa"/>
            <w:gridSpan w:val="5"/>
            <w:tcBorders>
              <w:top w:val="nil"/>
              <w:left w:val="nil"/>
              <w:bottom w:val="nil"/>
              <w:right w:val="nil"/>
            </w:tcBorders>
            <w:shd w:val="clear" w:color="auto" w:fill="FFFFFF"/>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Times New Roman" w:hAnsi="Times New Roman" w:eastAsia="宋体" w:cs="Times New Roman"/>
                <w:b/>
                <w:bCs/>
                <w:i w:val="0"/>
                <w:color w:val="000000"/>
                <w:kern w:val="0"/>
                <w:sz w:val="20"/>
                <w:szCs w:val="20"/>
                <w:highlight w:val="none"/>
                <w:u w:val="none"/>
                <w:lang w:val="en-US" w:eastAsia="zh-CN" w:bidi="ar"/>
              </w:rPr>
              <w:t>2026年泽普县一般公共预算支出表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80"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4670"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525" w:type="dxa"/>
            <w:tcBorders>
              <w:top w:val="nil"/>
              <w:left w:val="nil"/>
              <w:bottom w:val="nil"/>
              <w:right w:val="nil"/>
            </w:tcBorders>
            <w:shd w:val="clear" w:color="auto" w:fill="FFFFFF"/>
            <w:noWrap/>
            <w:vAlign w:val="bottom"/>
          </w:tcPr>
          <w:p>
            <w:pPr>
              <w:jc w:val="center"/>
              <w:rPr>
                <w:rFonts w:hint="eastAsia" w:ascii="宋体" w:hAnsi="宋体" w:eastAsia="宋体" w:cs="宋体"/>
                <w:i w:val="0"/>
                <w:iCs w:val="0"/>
                <w:color w:val="000000"/>
                <w:sz w:val="24"/>
                <w:szCs w:val="24"/>
                <w:u w:val="none"/>
              </w:rPr>
            </w:pPr>
          </w:p>
        </w:tc>
        <w:tc>
          <w:tcPr>
            <w:tcW w:w="1485" w:type="dxa"/>
            <w:tcBorders>
              <w:top w:val="nil"/>
              <w:left w:val="nil"/>
              <w:bottom w:val="nil"/>
              <w:right w:val="nil"/>
            </w:tcBorders>
            <w:shd w:val="clear" w:color="auto" w:fill="FFFFFF"/>
            <w:noWrap/>
            <w:vAlign w:val="bottom"/>
          </w:tcPr>
          <w:p>
            <w:pPr>
              <w:jc w:val="center"/>
              <w:rPr>
                <w:rFonts w:hint="eastAsia" w:ascii="宋体" w:hAnsi="宋体" w:eastAsia="宋体" w:cs="宋体"/>
                <w:i w:val="0"/>
                <w:iCs w:val="0"/>
                <w:color w:val="000000"/>
                <w:sz w:val="24"/>
                <w:szCs w:val="24"/>
                <w:u w:val="none"/>
              </w:rPr>
            </w:pPr>
          </w:p>
        </w:tc>
        <w:tc>
          <w:tcPr>
            <w:tcW w:w="1593" w:type="dxa"/>
            <w:tcBorders>
              <w:top w:val="nil"/>
              <w:left w:val="nil"/>
              <w:bottom w:val="nil"/>
              <w:right w:val="nil"/>
            </w:tcBorders>
            <w:shd w:val="clear" w:color="auto" w:fill="FFFFFF"/>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Times New Roman" w:hAnsi="Times New Roman" w:eastAsia="宋体" w:cs="Times New Roman"/>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4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w:t>
            </w:r>
            <w:r>
              <w:rPr>
                <w:rStyle w:val="17"/>
                <w:lang w:val="en-US" w:eastAsia="zh-CN" w:bidi="ar"/>
              </w:rPr>
              <w:t>年预算数</w:t>
            </w:r>
          </w:p>
        </w:tc>
        <w:tc>
          <w:tcPr>
            <w:tcW w:w="148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w:t>
            </w:r>
            <w:r>
              <w:rPr>
                <w:rStyle w:val="17"/>
                <w:lang w:val="en-US" w:eastAsia="zh-CN" w:bidi="ar"/>
              </w:rPr>
              <w:t>年预算数</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center"/>
              <w:rPr>
                <w:rStyle w:val="17"/>
                <w:rFonts w:hint="default" w:ascii="宋体" w:hAnsi="宋体" w:eastAsia="宋体" w:cs="宋体"/>
                <w:i w:val="0"/>
                <w:iCs w:val="0"/>
                <w:color w:val="000000"/>
                <w:lang w:val="en-US" w:eastAsia="zh-CN" w:bidi="ar"/>
              </w:rPr>
            </w:pPr>
            <w:r>
              <w:rPr>
                <w:rStyle w:val="17"/>
                <w:rFonts w:hint="default" w:ascii="宋体" w:hAnsi="宋体" w:eastAsia="宋体" w:cs="宋体"/>
                <w:i w:val="0"/>
                <w:iCs w:val="0"/>
                <w:color w:val="000000"/>
                <w:lang w:val="en-US" w:eastAsia="zh-CN" w:bidi="ar"/>
              </w:rPr>
              <w:t>比上年</w:t>
            </w:r>
            <w:r>
              <w:rPr>
                <w:rStyle w:val="17"/>
                <w:rFonts w:ascii="宋体" w:hAnsi="宋体" w:eastAsia="宋体" w:cs="宋体"/>
                <w:i w:val="0"/>
                <w:iCs w:val="0"/>
                <w:color w:val="000000"/>
                <w:lang w:val="en-US" w:eastAsia="zh-CN" w:bidi="ar"/>
              </w:rPr>
              <w:t>预算数增(减)%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33435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34698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人大事务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人大会议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人大立法</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人大监督</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人大代表履职能力提升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代表工作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人大信访工作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其他人大事务支出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政协事务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368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政协会议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委员视察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参政议政</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其他政协事务支出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政府办公厅（室）及相关机构事务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18374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19556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18266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19442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专项业务及机关事务管理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政务公开审批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参事事务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其他政府办公厅（室）及相关机构事务支出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发展与改革事务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532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399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战略规划与实施</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日常经济运行调节</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社会事业发展规划</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经济体制改革研究</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物价管理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其他发展与改革事务支出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统计信息事务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专项统计业务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统计管理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专项普查活动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统计抽样调查</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其他统计信息事务支出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889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2432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889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2304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预算改革业务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财政国库业务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财政监察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财政委托业务支出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其他财政事务支出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税收事务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税收业务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其他税收事务支出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审计事务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审计业务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审计管理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其他审计事务支出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海关事务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缉私办案</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口岸管理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海关关务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关税征管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2010911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海关监管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2010912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检验检疫</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其他海关事务支出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纪检监察事务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1476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1633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1476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1587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大案要案查处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派驻派出机构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巡视工作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其他纪检监察事务支出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商贸事务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538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对外贸易管理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国际经济合作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外资管理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国内贸易管理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招商引资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其他商贸事务支出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知识产权事务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专利审批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知识产权战略和规划</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国际合作与交流</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知识产权宏观管理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商标管理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2011411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原产地地理标志管理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其他知识产权事务支出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民族事务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民族工作专项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其他民族事务支出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港澳台事务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港澳事务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台湾事务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其他港澳台事务支出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档案事务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档案馆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其他档案事务支出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民主党派及工商联事务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参政议政</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其他民主党派及工商联事务支出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群众团体事务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823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1196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822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工会事务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其他群众团体事务支出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588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党委办公厅（室）及相关机构事务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1601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1523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1601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1523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其他党委办公厅（室）及相关机构事务支出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组织事务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5839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2977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5461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812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572.54%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公务员事务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其他组织事务支出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2165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宣传事务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宣传管理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其他宣传事务支出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统战事务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854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772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484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宗教事务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431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华侨事务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其他统战事务支出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对外联络事务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其他对外联络事务支出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其他共产党事务支出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其他共产党事务支出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网信事务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信息安全事务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其他网信事务支出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市场监督管理事务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570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经营主体管理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市场秩序执法</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质量基础</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药品事务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医疗器械事务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化妆品事务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质量安全监管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食品安全监管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其他市场监督管理事务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社会工作事务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其他社会工作事务支出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信访事务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信访业务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2014099</w:t>
            </w:r>
          </w:p>
        </w:tc>
        <w:tc>
          <w:tcPr>
            <w:tcW w:w="467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其他信访事务支出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数据事务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其他数据事务支出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其他一般公共服务支出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2019901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国家赔偿费用支出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2019999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其他一般公共服务支出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外交支出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外交管理事务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其他外交管理事务支出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驻外机构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2020201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驻外使领馆（团、处）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2020202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其他驻外机构支出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对外援助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2020304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援外优惠贷款贴息</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2020306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对外援助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国际组织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国际组织会费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国际组织捐赠</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维和摊款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国际组织股金及基金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其他国际组织支出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对外合作与交流</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在华国际会议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国际交流活动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对外合作活动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其他对外合作与交流支出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对外宣传</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2020601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对外宣传</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边界勘界联检</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边界勘界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边界联检</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边界界桩维护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国际发展合作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2020802</w:t>
            </w:r>
          </w:p>
        </w:tc>
        <w:tc>
          <w:tcPr>
            <w:tcW w:w="467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其他国际发展合作支出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其他外交支出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2029999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其他外交支出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国防支出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军费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现役部队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预备役部队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其他军费支出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国防科研事业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2030401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国防科研事业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专项工程</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2030501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专项工程</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国防动员</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兵役征集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经济动员</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人民防空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交通战备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民兵</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边海防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其他国防动员支出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其他国防支出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2039999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其他国防支出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公共安全支出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18096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16654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武装警察部队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武装警察部队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其他武装警察部队支出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公安</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17147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15711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15077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12831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2040219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执法办案</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特别业务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特勤业务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移民事务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其他公安支出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2020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2820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国家安全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安全业务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其他国家安全支出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检察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“两房”建设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检察监督</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其他检察支出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法院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案件审判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案件执行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“两庭”建设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2040550</w:t>
            </w:r>
          </w:p>
        </w:tc>
        <w:tc>
          <w:tcPr>
            <w:tcW w:w="467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其他法院支出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司法</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949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943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757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765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基层司法业务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普法宣传</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律师管理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公共法律服务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国家统一法律职业资格考试</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社区矫正</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2040612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法治建设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2040613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其他司法支出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监狱</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罪犯生活及医疗卫生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监狱业务及罪犯改造</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狱政设施建设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其他监狱支出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强制隔离戒毒</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强制隔离戒毒人员生活</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强制隔离戒毒人员教育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所政设施建设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其他强制隔离戒毒支出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国家保密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保密技术</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保密管理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其他国家保密支出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缉私警察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缉私业务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其他缉私警察支出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其他公共安全支出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2049902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国家司法救助支出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2049999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其他公共安全支出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教育支出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104612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106103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教育管理事务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669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668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其他教育管理事务支出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普通教育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95967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98099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学前教育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15242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15100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小学教育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37401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38215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初中教育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26852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26190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高中教育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8029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11738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高等教育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其他普通教育支出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8443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6856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职业教育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5568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6439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初等职业教育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中等职业教育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4181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4556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技校教育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1387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1883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高等职业教育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其他职业教育支出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成人教育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成人初等教育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成人中等教育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成人高等教育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成人广播电视教育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其他成人教育支出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广播电视教育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广播电视学校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教育电视台</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其他广播电视教育支出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留学教育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出国留学教育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来华留学教育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其他留学教育支出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特殊教育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特殊学校教育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专门学校教育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其他特殊教育支出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进修及培训</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教师进修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干部教育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培训支出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退役士兵能力提升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其他进修及培训</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教育费附加安排的支出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农村中小学校舍建设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农村中小学教学设施</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城市中小学校舍建设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城市中小学教学设施</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中等职业学校教学设施</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其他教育费附加安排的支出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其他教育支出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506.06%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其他教育支出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506.06%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科学技术支出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科学技术管理事务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其他科学技术管理事务支出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基础研究</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机构运行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自然科学基金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实验室及相关设施</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重大科学工程</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专项基础科研</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专项技术基础</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2060208</w:t>
            </w:r>
          </w:p>
        </w:tc>
        <w:tc>
          <w:tcPr>
            <w:tcW w:w="467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科技人才队伍建设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其他基础研究支出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应用研究</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机构运行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社会公益研究</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高技术研究</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专项科研试制</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其他应用研究支出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技术研究与开发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机构运行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科技成果转化与扩散</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共性技术研究与开发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其他技术研究与开发支出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科技条件与服务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机构运行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技术创新服务体系</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科技条件专项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其他科技条件与服务支出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社会科学</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2060601</w:t>
            </w:r>
          </w:p>
        </w:tc>
        <w:tc>
          <w:tcPr>
            <w:tcW w:w="467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社会科学研究机构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社会科学研究</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社科基金支出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其他社会科学支出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科学技术普及</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机构运行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2060702</w:t>
            </w:r>
          </w:p>
        </w:tc>
        <w:tc>
          <w:tcPr>
            <w:tcW w:w="467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科普活动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青少年科技活动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学术交流活动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科技馆站</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其他科学技术普及支出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科技交流与合作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国际交流与合作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重大科技合作项目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其他科技交流与合作支出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科技重大项目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科技重大专项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重点研发计划</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其他科技重大项目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其他科学技术支出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科技奖励</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核应急</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转制科研机构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其他科学技术支出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文化旅游体育与传媒支出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2943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3044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文化和旅游</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1896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1872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1097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1086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2070102</w:t>
            </w:r>
          </w:p>
        </w:tc>
        <w:tc>
          <w:tcPr>
            <w:tcW w:w="467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2070103</w:t>
            </w:r>
          </w:p>
        </w:tc>
        <w:tc>
          <w:tcPr>
            <w:tcW w:w="467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图书馆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文化展示及纪念机构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艺术表演场所</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艺术表演团体</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文化活动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群众文化</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文化和旅游交流与合作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文化创作与保护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文化和旅游市场管理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旅游宣传</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文化和旅游管理事务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656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744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其他文化和旅游支出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240.48%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2070203</w:t>
            </w:r>
          </w:p>
        </w:tc>
        <w:tc>
          <w:tcPr>
            <w:tcW w:w="467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文物保护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博物馆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历史名城与古迹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其他文物支出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体育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运动项目管理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体育竞赛</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体育训练</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体育场馆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群众体育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体育交流与合作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其他体育支出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新闻出版电影</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新闻通讯</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出版发行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版权管理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电影</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其他新闻出版电影支出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广播电视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489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监测监管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传输发射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广播电视事务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其他广播电视支出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其他文化旅游体育与传媒支出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523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文化产业发展专项支出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其他文化旅游体育与传媒支出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523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社会保障和就业支出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30333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32326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人力资源和社会保障管理事务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896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687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579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综合业务管理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劳动保障监察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就业管理事务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社会保险业务管理事务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社会保险经办机构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劳动关系和维权</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公共就业服务和职业技能鉴定机构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劳动人事争议调解仲裁</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政府特殊津贴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资助留学回国人员</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博士后日常经费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引进人才费用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314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其他人力资源和社会保障管理事务支出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263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1195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235.67%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1195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266.56%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社会组织管理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行政区划和地名管理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老龄事务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其他民政管理事务支出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行政事业单位养老支出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8900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9355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行政单位离退休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1276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1532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事业单位离退休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离退休人员管理机构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机关事业单位基本养老保险缴费支出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7052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7274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机关事业单位职业年金缴费支出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对机关事业单位基本养老保险基金的补助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对机关事业单位职业年金的补助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其他行政事业单位养老支出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企业改革补助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企业关闭破产补助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厂办大集体改革补助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其他企业改革发展补助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就业补助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1285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2309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就业创业服务补助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职业培训补贴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社会保险补贴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公益性岗位补贴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360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职业技能评价补贴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2080711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就业见习补贴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2080712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高技能人才培养补助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2080713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求职和创业补贴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其他就业补助支出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1029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1069.32%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抚恤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481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死亡抚恤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伤残抚恤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在乡复员、退伍军人生活补助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义务兵优待</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农村籍退役士兵老年生活补助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光荣院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褒扬纪念</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其他优抚支出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退役安置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退役士兵安置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军队移交政府的离退休人员安置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军队移交政府离退休干部管理机构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退役士兵管理教育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军队转业干部安置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其他退役安置支出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社会福利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儿童福利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老年福利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康复辅具</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殡葬</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社会福利事业单位</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养老服务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其他社会福利支出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残疾人事业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1288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1299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226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残疾人康复</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残疾人就业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残疾人体育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残疾人生活和护理补贴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1046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其他残疾人事业支出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红十字事业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其他红十字事业支出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最低生活保障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12783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2081901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城市最低生活保障金支出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2950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2081902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农村最低生活保障金支出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9833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临时救助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933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2082001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临时救助支出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933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2082002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流浪乞讨人员救助支出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特困人员救助供养</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1669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城市特困人员救助供养支出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479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农村特困人员救助供养支出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1190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补充道路交通事故社会救助基金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2082401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对道路交通事故社会救助基金的补助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2082402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交强险罚款收入补助基金支出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其他生活救助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2082501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其他城市生活救助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2082502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其他农村生活救助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财政对基本养老保险基金的补助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1228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财政对企业职工基本养老保险基金的补助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财政对城乡居民基本养老保险基金的补助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1031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财政对其他基本养老保险基金的补助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财政对其他社会保险基金的补助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财政对失业保险基金的补助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财政对工伤保险基金的补助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其他财政对社会保险基金的补助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退役军人管理事务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拥军优属</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军供保障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其他退役军人事务管理支出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20830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财政代缴社会保险费支出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2083001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财政代缴城乡居民基本养老保险费支出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2083099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财政代缴其他社会保险费支出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其他社会保障和就业支出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15320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其他社会保障和就业支出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15320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卫生健康支出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21886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27002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卫生健康管理事务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2664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2514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1860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1925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其他卫生健康管理事务支出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804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589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公立医院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4423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5434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综合医院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4277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4538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中医（民族）医院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896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传染病医院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职业病防治医院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精神病医院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妇幼保健医院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儿童医院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其他专科医院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福利医院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行业医院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处理医疗欠费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康复医院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优抚医院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其他公立医院支出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基层医疗卫生机构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5754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6989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城市社区卫生机构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乡镇卫生院</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5530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6734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其他基层医疗卫生机构支出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224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公共卫生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3804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4345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疾病预防控制机构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卫生监督机构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妇幼保健机构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272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精神卫生机构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应急救治机构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采供血机构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其他专业公共卫生机构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基本公共卫生服务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1800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2029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重大公共卫生服务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突发公共卫生事件应急处置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其他公共卫生支出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1050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1297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计划生育事务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1874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2010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2100716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计划生育机构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2100717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计划生育服务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1874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2010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其他计划生育事务支出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行政事业单位医疗</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2878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2913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行政单位医疗</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2240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2255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事业单位医疗</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公务员医疗补助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470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其他行政事业单位医疗支出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财政对基本医疗保险基金的补助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财政对职工基本医疗保险基金的补助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财政对城乡居民基本医疗保险基金的补助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财政对其他基本医疗保险基金的补助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医疗救助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城乡医疗救助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疾病应急救助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其他医疗救助支出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优抚对象医疗</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2101401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优抚对象医疗补助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2101499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其他优抚对象医疗支出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医疗保障管理事务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485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151.91%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医疗保障政策管理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医疗保障经办事务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其他医疗保障管理事务支出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中医药事务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中医（民族医）药专项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2101750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其他中医药事务支出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疾病预防控制事务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其他疾病预防控制事务支出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育幼服务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2574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托育机构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2101902</w:t>
            </w:r>
          </w:p>
        </w:tc>
        <w:tc>
          <w:tcPr>
            <w:tcW w:w="467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育儿补贴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2479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其他育幼服务支出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其他卫生健康支出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2109999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其他卫生健康支出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节能环保支出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2878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149.39%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环境保护管理事务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生态环境保护宣传</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环境保护法规、规划及标准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生态环境国际合作及履约</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生态环境保护行政许可</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应对气候变化管理事务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其他环境保护管理事务支出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环境监测与监察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建设项目环评审查与监督</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核与辐射安全监督</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其他环境监测与监察支出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污染防治</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1400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1844.44%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大气</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1400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1844.44%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水体</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噪声</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固体废弃物与化学品</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放射源和放射性废物监管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辐射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土壤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其他污染防治支出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自然生态保护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1315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生态保护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1315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农村环境保护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生物及物种资源保护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草原生态修复治理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自然保护地</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其他自然生态保护支出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森林保护修复</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森林管护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2110502</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社会保险补助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2110503</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政策性社会性支出补助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2110506</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天然林保护工程建设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停伐补助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其他森林保护修复支出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21107</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风沙荒漠治理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2110704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京津风沙源治理工程建设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2110799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其他风沙荒漠治理支出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21108</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退牧还草</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2110804</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退牧还草工程建设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2110899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其他退牧还草支出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21109</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已垦草原退耕还草</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2110901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已垦草原退耕还草</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21110</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能源节约利用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2111001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能源节约利用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污染减排</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2111101</w:t>
            </w:r>
          </w:p>
        </w:tc>
        <w:tc>
          <w:tcPr>
            <w:tcW w:w="4670"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生态环境监测与信息</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生态环境执法监察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减排专项支出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清洁生产专项支出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其他污染减排支出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清洁能源</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2111201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可再生能源</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2111299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其他清洁能源支出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循环经济</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2111301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循环经济</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能源科技装备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能源行业管理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2111411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2111413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农村电网建设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2111450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其他能源管理事务支出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其他节能环保支出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2119999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其他节能环保支出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3485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10929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841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844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721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844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城管执法</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工程建设标准规范编制与监管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工程建设管理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市政公用行业市场监管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住宅建设与房地产市场监管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2120110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执业资格注册、资质审查</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其他城乡社区管理事务支出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城乡社区规划与管理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2120201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城乡社区规划与管理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城乡社区公共设施</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2644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9996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2120303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小城镇基础设施建设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2319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9984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2120399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其他城乡社区公共设施支出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2608.33%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城乡社区环境卫生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2120501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城乡社区环境卫生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建设市场管理与监督</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2120601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建设市场管理与监督</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其他城乡社区支出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2129999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其他城乡社区支出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农林水支出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45505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52901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农业农村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13873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16911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1988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1366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1117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农垦运行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科技转化与推广服务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病虫害控制</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农产品质量安全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执法监管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统计监测与信息服务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行业业务管理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对外交流与合作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防灾救灾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稳定农民收入补贴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6135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8656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农业结构调整补贴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农业生产发展</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1132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3436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农村合作经济</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729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655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农产品加工与促销</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农村社会事业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2130135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农业生态资源保护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2130142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乡村道路建设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2130148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渔业发展</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2130152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对高校毕业生到基层任职补助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2130153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耕地建设与利用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2568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1136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其他农业农村支出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林业和草原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708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森林资源培育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技术推广与转化</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森林资源管理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森林生态效益补偿</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动植物保护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湿地保护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执法与监督</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防沙治沙</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对外合作与交流</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产业化管理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林区公共支出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贷款贴息</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林业草原防灾减灾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草原管理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行业业务管理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退耕还林还草</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其他林业和草原支出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2040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1420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1228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1174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水利行业业务管理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水利工程建设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4185.71%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水利工程运行与维护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长江黄河等流域管理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水利前期工作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水利执法监督</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水土保持</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水资源节约管理与保护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水质监测</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水文测报</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防汛</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抗旱</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农村水利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水利技术推广</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国际河流治理与管理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江河湖库水系综合整治</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2130321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大中型水库移民后期扶持专项支出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2130322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水利安全监督</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水利建设征地及移民支出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农村供水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南水北调工程建设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南水北调工程管理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其他水利支出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巩固脱贫攻坚成果衔接乡村振兴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22328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23754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农村基础设施建设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1148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149.02%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生产发展</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21180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23293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社会发展</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贷款奖补和贴息</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“三西”农业建设专项补助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其他巩固脱贫攻坚成果衔接乡村振兴支出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农村综合改革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1224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4629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对村级公益事业建设的补助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1224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1167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对村民委员会和村党支部的补助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2673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对村集体经济组织的补助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农村综合改革示范试点补助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789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其他农村综合改革支出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普惠金融发展支出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3484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3247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支持农村金融机构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农业保险保费补贴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3388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3076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创业担保贷款贴息及奖补</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补充创业担保贷款基金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其他普惠金融发展支出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目标价格补贴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2187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2130901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棉花目标价格补贴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2187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2130999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其他目标价格补贴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其他农林水支出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2088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2139901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化解其他公益性乡村债务支出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2139999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其他农林水支出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2088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交通运输支出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2525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1794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公路水路运输</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2525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1793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315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公路建设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1674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1166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公路养护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536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318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交通运输信息化建设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2140110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公路和运输安全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2140112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公路运输管理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2140114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公路和运输技术标准化建设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水运建设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航道维护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船舶检验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救助打捞</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内河运输</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远洋运输</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海事管理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航标事业发展支出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水路运输管理支出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口岸建设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其他公路水路运输支出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铁路运输</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铁路路网建设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铁路还贷专项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铁路安全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铁路专项运输</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行业监管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其他铁路运输支出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民用航空运输</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机场建设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空管系统建设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民航还贷专项支出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民用航空安全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民航专项运输</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其他民用航空运输支出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邮政业支出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行业监管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邮政普遍服务与特殊服务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其他邮政业支出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其他交通运输支出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2149901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公共交通运营补助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2149999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其他交通运输支出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资源勘探工业信息等支出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资源勘探开发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煤炭勘探开采和洗选</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石油和天然气勘探开采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黑色金属矿勘探和采选</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有色金属矿勘探和采选</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非金属矿勘探和采选</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其他资源勘探业支出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制造业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纺织业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78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医药制造业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非金属矿物制品业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通信设备、计算机及其他电子设备制造业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交通运输设备制造业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电气机械及器材制造业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工艺品及其他制造业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石油加工、炼焦及核燃料加工业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化学原料及化学制品制造业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黑色金属冶炼及压延加工业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有色金属冶炼及压延加工业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其他制造业支出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建筑业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其他建筑业支出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工业和信息产业</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战备应急</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专用通信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无线电及信息通信监管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2150516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工程建设及运行维护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2150517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产业发展</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2150550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其他工业和信息产业支出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国有资产监管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国有企业监事会专项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其他国有资产监管支出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支持中小企业发展和管理支出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科技型中小企业技术创新基金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中小企业发展专项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减免房租补贴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其他支持中小企业发展和管理支出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其他资源勘探工业信息等支出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黄金事务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技术改造支出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中药材扶持资金支出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重点产业振兴和技术改造项目贷款贴息</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其他资源勘探工业信息等支出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商业服务业等支出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315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商业流通事务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114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315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食品流通安全补贴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市场监测及信息管理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民贸企业补贴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民贸民品贷款贴息</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2160250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114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其他商业流通事务支出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涉外发展服务支出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外商投资环境建设补助资金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其他涉外发展服务支出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其他商业服务业等支出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2169901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服务业基础设施建设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2169999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其他商业服务业等支出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金融部门行政支出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安全防卫</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2170150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金融部门其他行政支出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金融部门监管支出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货币发行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反假币</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重点金融机构监管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金融稽查与案件处理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金融行业电子化建设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从业人员资格考试</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反洗钱</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金融部门其他监管支出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金融发展支出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政策性银行亏损补贴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利息费用补贴支出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补充资本金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风险基金补助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其他金融发展支出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金融调控支出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2170499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其他金融调控支出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其他金融支出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2179902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重点企业贷款贴息</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2179999</w:t>
            </w:r>
          </w:p>
        </w:tc>
        <w:tc>
          <w:tcPr>
            <w:tcW w:w="4670"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其他金融支出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援助其他地区支出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一般公共服务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一般公共服务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文化旅游体育与传媒</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文化旅游体育与传媒</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卫生健康</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卫生健康</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节能环保</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节能环保</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农业农村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农业农村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交通运输</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交通运输</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住房保障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住房保障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自然资源海洋气象等支出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977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自然资源规划及管理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自然资源利用与保护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自然资源社会公益服务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自然资源行业业务管理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自然资源调查与确权登记</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土地资源储备支出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地质矿产资源与环境调查</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地质勘查与矿产资源管理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地质转产项目财政贴息</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国外风险勘查</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地质勘查基金（周转金）支出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海域与海岛管理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自然资源国际合作与海洋权益维护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自然资源卫星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极地考察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深海调查与资源开发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海港航标维护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海水淡化</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无居民海岛使用金支出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海洋战略规划与预警监测</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基础测绘与地理信息监管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2200150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其他自然资源事务支出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气象事业机构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气象探测</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气象信息传输及管理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气象预报预测</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气象装备保障维护</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气象基础设施建设与维修</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气象卫星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气象法规与标准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气象资金审计稽查</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其他气象事务支出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其他自然资源海洋气象等支出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2209999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其他自然资源海洋气象等支出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住房保障支出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10422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8189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保障性安居工程支出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5631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3240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沉陷区治理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棚户区改造</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少数民族地区游牧民定居工程</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农村危房改造</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1407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72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1854.17%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老旧小区改造</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921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1779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2210111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配租型住房保障</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2210112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配售型保障性住房</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2210113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城中村改造</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其他保障性安居工程支出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1389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137.80%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住房改革支出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4791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4949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住房公积金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4791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4949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提租补贴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购房补贴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城乡社区住宅</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公有住房建设和维修改造支出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住房公积金管理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其他城乡社区住宅支出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粮油物资储备支出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1179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粮油物资事务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1179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财务和审计支出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信息统计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专项业务活动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国家粮油差价补贴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粮食财务挂账利息补贴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粮食财务挂账消化款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处理陈化粮补贴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粮食风险基金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粮油市场调控专项资金</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设施建设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2220120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设施安全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2220121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物资保管保养</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2220150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27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59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其他粮油物资事务支出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石油储备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天然铀储备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煤炭储备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成品油储备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天然气储备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其他能源储备支出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粮油储备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储备粮油补贴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储备粮油差价补贴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储备粮（油）库建设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最低收购价政策支出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其他粮油储备支出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重要商品储备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棉花储备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食糖储备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肉类储备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化肥储备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农药储备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边销茶储备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羊毛储备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医药储备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食盐储备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2220510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战略物资储备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2220511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应急物资储备</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其他重要商品储备支出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灾害防治及应急管理支出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应急管理事务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252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296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灾害风险防治</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国务院安委会专项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安全监管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应急救援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应急管理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2240150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其他应急管理支出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消防救援事务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消防应急救援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153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161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2240250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其他消防救援事务支出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矿山安全</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矿山安全监察事务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矿山应急救援事务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2240450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其他矿山安全支出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地震监测</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2240505</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地震预测预报</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地震灾害预防</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地震应急救援</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2240508</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地震环境探察</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防震减灾信息管理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2240510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防震减灾基础管理</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2240550</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地震事业机构</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其他地震事务支出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自然灾害防治</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地质灾害防治</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森林草原防灾减灾</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其他自然灾害防治支出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自然灾害救灾及恢复重建支出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自然灾害救灾补助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2240704</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自然灾害灾后重建补助</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其他自然灾害救灾及恢复重建支出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其他灾害防治及应急管理支出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2249999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其他灾害防治及应急管理支出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预备费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3200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2950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预备费</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3200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2950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21826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58889.19%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年初预留</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17148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2290201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年初预留</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17148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4678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12543.24%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2299999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4678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12543.24%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债务付息支出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2586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地方政府一般债务付息支出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2586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地方政府一般债券付息支出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2551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2320302</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地方政府向外国政府借款付息支出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地方政府向国际组织借款付息支出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2320399</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地方政府其他一般债务付息支出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债务发行费用支出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23303</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地方政府一般债务发行费用支出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2330301</w:t>
            </w:r>
          </w:p>
        </w:tc>
        <w:tc>
          <w:tcPr>
            <w:tcW w:w="4670"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地方政府一般债务发行费用支出</w:t>
            </w:r>
          </w:p>
        </w:tc>
        <w:tc>
          <w:tcPr>
            <w:tcW w:w="15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7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一般公共预算支出</w:t>
            </w:r>
            <w:r>
              <w:rPr>
                <w:rFonts w:hint="default" w:ascii="Times New Roman" w:hAnsi="Times New Roman" w:cs="Times New Roman"/>
                <w:b/>
                <w:i w:val="0"/>
                <w:color w:val="000000"/>
                <w:kern w:val="0"/>
                <w:sz w:val="20"/>
                <w:szCs w:val="20"/>
                <w:highlight w:val="none"/>
                <w:u w:val="none"/>
                <w:lang w:val="en-US" w:eastAsia="zh-CN" w:bidi="ar"/>
              </w:rPr>
              <w:t>合计</w:t>
            </w:r>
          </w:p>
        </w:tc>
        <w:tc>
          <w:tcPr>
            <w:tcW w:w="152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306739 </w:t>
            </w:r>
          </w:p>
        </w:tc>
        <w:tc>
          <w:tcPr>
            <w:tcW w:w="148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304117 </w:t>
            </w:r>
          </w:p>
        </w:tc>
        <w:tc>
          <w:tcPr>
            <w:tcW w:w="159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0.86%</w:t>
            </w:r>
          </w:p>
        </w:tc>
      </w:tr>
    </w:tbl>
    <w:p>
      <w:pPr>
        <w:rPr>
          <w:rFonts w:hint="default" w:ascii="Times New Roman" w:hAnsi="Times New Roman" w:cs="Times New Roman"/>
          <w:highlight w:val="none"/>
        </w:rPr>
      </w:pPr>
    </w:p>
    <w:p>
      <w:pPr>
        <w:pStyle w:val="2"/>
        <w:ind w:left="0" w:leftChars="0" w:firstLine="0" w:firstLineChars="0"/>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rPr>
          <w:rFonts w:hint="default"/>
        </w:rPr>
      </w:pPr>
    </w:p>
    <w:p>
      <w:pPr>
        <w:rPr>
          <w:rFonts w:hint="default" w:ascii="Times New Roman" w:hAnsi="Times New Roman" w:cs="Times New Roman"/>
          <w:highlight w:val="none"/>
        </w:rPr>
      </w:pPr>
    </w:p>
    <w:tbl>
      <w:tblPr>
        <w:tblStyle w:val="8"/>
        <w:tblW w:w="82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3645"/>
        <w:gridCol w:w="1080"/>
        <w:gridCol w:w="1080"/>
        <w:gridCol w:w="13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表</w:t>
            </w:r>
            <w:r>
              <w:rPr>
                <w:rFonts w:hint="eastAsia" w:ascii="Times New Roman" w:hAnsi="Times New Roman" w:eastAsia="宋体" w:cs="Times New Roman"/>
                <w:i w:val="0"/>
                <w:iCs w:val="0"/>
                <w:color w:val="000000"/>
                <w:kern w:val="0"/>
                <w:sz w:val="20"/>
                <w:szCs w:val="20"/>
                <w:u w:val="none"/>
                <w:lang w:val="en-US" w:eastAsia="zh-CN" w:bidi="ar"/>
              </w:rPr>
              <w:t>3</w:t>
            </w:r>
          </w:p>
        </w:tc>
        <w:tc>
          <w:tcPr>
            <w:tcW w:w="3645"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c>
          <w:tcPr>
            <w:tcW w:w="1328"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8213"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2026年泽普县本级一般公共预算收入表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08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11"/>
                <w:szCs w:val="11"/>
                <w:u w:val="none"/>
              </w:rPr>
            </w:pPr>
          </w:p>
        </w:tc>
        <w:tc>
          <w:tcPr>
            <w:tcW w:w="3645"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11"/>
                <w:szCs w:val="11"/>
                <w:u w:val="none"/>
              </w:rPr>
            </w:pPr>
          </w:p>
        </w:tc>
        <w:tc>
          <w:tcPr>
            <w:tcW w:w="1080"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11"/>
                <w:szCs w:val="11"/>
                <w:u w:val="none"/>
              </w:rPr>
            </w:pPr>
          </w:p>
        </w:tc>
        <w:tc>
          <w:tcPr>
            <w:tcW w:w="1080"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11"/>
                <w:szCs w:val="11"/>
                <w:u w:val="none"/>
              </w:rPr>
            </w:pPr>
          </w:p>
        </w:tc>
        <w:tc>
          <w:tcPr>
            <w:tcW w:w="1328"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3645" w:type="dxa"/>
            <w:tcBorders>
              <w:top w:val="single" w:color="000000" w:sz="8" w:space="0"/>
              <w:left w:val="nil"/>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080" w:type="dxa"/>
            <w:tcBorders>
              <w:top w:val="single" w:color="000000" w:sz="8" w:space="0"/>
              <w:left w:val="nil"/>
              <w:bottom w:val="nil"/>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w:t>
            </w:r>
            <w:r>
              <w:rPr>
                <w:rFonts w:hint="eastAsia" w:ascii="Times New Roman" w:hAnsi="Times New Roman" w:eastAsia="宋体" w:cs="Times New Roman"/>
                <w:b/>
                <w:bCs/>
                <w:i w:val="0"/>
                <w:iCs w:val="0"/>
                <w:color w:val="000000"/>
                <w:kern w:val="0"/>
                <w:sz w:val="20"/>
                <w:szCs w:val="20"/>
                <w:u w:val="none"/>
                <w:lang w:val="en-US" w:eastAsia="zh-CN" w:bidi="ar"/>
              </w:rPr>
              <w:t>5</w:t>
            </w:r>
            <w:r>
              <w:rPr>
                <w:rFonts w:hint="default" w:ascii="Times New Roman" w:hAnsi="Times New Roman" w:eastAsia="宋体" w:cs="Times New Roman"/>
                <w:b/>
                <w:bCs/>
                <w:i w:val="0"/>
                <w:iCs w:val="0"/>
                <w:color w:val="000000"/>
                <w:kern w:val="0"/>
                <w:sz w:val="20"/>
                <w:szCs w:val="20"/>
                <w:u w:val="none"/>
                <w:lang w:val="en-US" w:eastAsia="zh-CN" w:bidi="ar"/>
              </w:rPr>
              <w:t>年预算数</w:t>
            </w:r>
          </w:p>
        </w:tc>
        <w:tc>
          <w:tcPr>
            <w:tcW w:w="1080" w:type="dxa"/>
            <w:tcBorders>
              <w:top w:val="single" w:color="000000" w:sz="8" w:space="0"/>
              <w:left w:val="nil"/>
              <w:bottom w:val="nil"/>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w:t>
            </w:r>
            <w:r>
              <w:rPr>
                <w:rFonts w:hint="eastAsia" w:ascii="Times New Roman" w:hAnsi="Times New Roman" w:eastAsia="宋体" w:cs="Times New Roman"/>
                <w:b/>
                <w:bCs/>
                <w:i w:val="0"/>
                <w:iCs w:val="0"/>
                <w:color w:val="000000"/>
                <w:kern w:val="0"/>
                <w:sz w:val="20"/>
                <w:szCs w:val="20"/>
                <w:u w:val="none"/>
                <w:lang w:val="en-US" w:eastAsia="zh-CN" w:bidi="ar"/>
              </w:rPr>
              <w:t>6</w:t>
            </w:r>
            <w:r>
              <w:rPr>
                <w:rFonts w:hint="default" w:ascii="Times New Roman" w:hAnsi="Times New Roman" w:eastAsia="宋体" w:cs="Times New Roman"/>
                <w:b/>
                <w:bCs/>
                <w:i w:val="0"/>
                <w:iCs w:val="0"/>
                <w:color w:val="000000"/>
                <w:kern w:val="0"/>
                <w:sz w:val="20"/>
                <w:szCs w:val="20"/>
                <w:u w:val="none"/>
                <w:lang w:val="en-US" w:eastAsia="zh-CN" w:bidi="ar"/>
              </w:rPr>
              <w:t>年预算数</w:t>
            </w:r>
          </w:p>
        </w:tc>
        <w:tc>
          <w:tcPr>
            <w:tcW w:w="1328"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比上年预算数增 (减)%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108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101</w:t>
            </w:r>
          </w:p>
        </w:tc>
        <w:tc>
          <w:tcPr>
            <w:tcW w:w="3645" w:type="dxa"/>
            <w:tcBorders>
              <w:top w:val="single" w:color="000000" w:sz="8" w:space="0"/>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税收收入</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17369</w:t>
            </w:r>
          </w:p>
        </w:tc>
        <w:tc>
          <w:tcPr>
            <w:tcW w:w="1080" w:type="dxa"/>
            <w:tcBorders>
              <w:top w:val="single" w:color="000000" w:sz="8" w:space="0"/>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14577</w:t>
            </w:r>
          </w:p>
        </w:tc>
        <w:tc>
          <w:tcPr>
            <w:tcW w:w="1328" w:type="dxa"/>
            <w:tcBorders>
              <w:top w:val="single" w:color="000000" w:sz="8" w:space="0"/>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-16.07%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10101</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增值税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4324</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3279</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-24.17%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10104</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企业所得税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825</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536</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-35.03%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10106</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个人所得税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1270</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796</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-37.32%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10107</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资源税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38</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228</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10109</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城市维护建设税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825</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539</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10110</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房产税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760</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719</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10111</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印花税</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290</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294</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1080" w:type="dxa"/>
            <w:tcBorders>
              <w:top w:val="nil"/>
              <w:left w:val="single" w:color="000000" w:sz="8"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10112</w:t>
            </w:r>
          </w:p>
        </w:tc>
        <w:tc>
          <w:tcPr>
            <w:tcW w:w="3645" w:type="dxa"/>
            <w:tcBorders>
              <w:top w:val="nil"/>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城镇土地使用税</w:t>
            </w:r>
          </w:p>
        </w:tc>
        <w:tc>
          <w:tcPr>
            <w:tcW w:w="1080" w:type="dxa"/>
            <w:tcBorders>
              <w:top w:val="nil"/>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5387</w:t>
            </w:r>
          </w:p>
        </w:tc>
        <w:tc>
          <w:tcPr>
            <w:tcW w:w="1080" w:type="dxa"/>
            <w:tcBorders>
              <w:top w:val="nil"/>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4981</w:t>
            </w:r>
          </w:p>
        </w:tc>
        <w:tc>
          <w:tcPr>
            <w:tcW w:w="1328" w:type="dxa"/>
            <w:tcBorders>
              <w:top w:val="nil"/>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-7.54%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auto" w:sz="4"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10113</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土地增值税</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1558</w:t>
            </w: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905</w:t>
            </w:r>
          </w:p>
        </w:tc>
        <w:tc>
          <w:tcPr>
            <w:tcW w:w="1328" w:type="dxa"/>
            <w:tcBorders>
              <w:top w:val="single" w:color="auto" w:sz="4" w:space="0"/>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-41.91%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10114</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车船税</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1276</w:t>
            </w: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1458</w:t>
            </w:r>
          </w:p>
        </w:tc>
        <w:tc>
          <w:tcPr>
            <w:tcW w:w="1328"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14.26%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auto" w:sz="4"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10118</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耕地占用税</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126</w:t>
            </w: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361</w:t>
            </w:r>
          </w:p>
        </w:tc>
        <w:tc>
          <w:tcPr>
            <w:tcW w:w="1328" w:type="dxa"/>
            <w:tcBorders>
              <w:top w:val="single" w:color="auto" w:sz="4" w:space="0"/>
              <w:left w:val="nil"/>
              <w:bottom w:val="single" w:color="auto" w:sz="4" w:space="0"/>
              <w:right w:val="single" w:color="auto" w:sz="4"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186.51%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10119</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契税</w:t>
            </w:r>
          </w:p>
        </w:tc>
        <w:tc>
          <w:tcPr>
            <w:tcW w:w="1080" w:type="dxa"/>
            <w:tcBorders>
              <w:top w:val="single" w:color="auto" w:sz="4" w:space="0"/>
              <w:left w:val="nil"/>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690</w:t>
            </w: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481</w:t>
            </w:r>
          </w:p>
        </w:tc>
        <w:tc>
          <w:tcPr>
            <w:tcW w:w="1328"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single" w:color="auto" w:sz="4" w:space="0"/>
              <w:left w:val="single" w:color="auto" w:sz="4" w:space="0"/>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10120</w:t>
            </w:r>
          </w:p>
        </w:tc>
        <w:tc>
          <w:tcPr>
            <w:tcW w:w="3645" w:type="dxa"/>
            <w:tcBorders>
              <w:top w:val="single" w:color="auto" w:sz="4" w:space="0"/>
              <w:left w:val="nil"/>
              <w:bottom w:val="single" w:color="auto" w:sz="4"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烟叶税</w:t>
            </w: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c>
          <w:tcPr>
            <w:tcW w:w="1080" w:type="dxa"/>
            <w:tcBorders>
              <w:top w:val="single" w:color="auto" w:sz="4" w:space="0"/>
              <w:left w:val="nil"/>
              <w:bottom w:val="single" w:color="auto" w:sz="4"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328" w:type="dxa"/>
            <w:tcBorders>
              <w:top w:val="single" w:color="auto" w:sz="4" w:space="0"/>
              <w:left w:val="nil"/>
              <w:bottom w:val="single" w:color="auto" w:sz="4" w:space="0"/>
              <w:right w:val="single" w:color="auto" w:sz="4"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1080" w:type="dxa"/>
            <w:tcBorders>
              <w:top w:val="single" w:color="auto" w:sz="4" w:space="0"/>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10121</w:t>
            </w:r>
          </w:p>
        </w:tc>
        <w:tc>
          <w:tcPr>
            <w:tcW w:w="3645" w:type="dxa"/>
            <w:tcBorders>
              <w:top w:val="single" w:color="auto" w:sz="4" w:space="0"/>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环境保护税</w:t>
            </w:r>
          </w:p>
        </w:tc>
        <w:tc>
          <w:tcPr>
            <w:tcW w:w="1080" w:type="dxa"/>
            <w:tcBorders>
              <w:top w:val="single" w:color="auto" w:sz="4" w:space="0"/>
              <w:left w:val="nil"/>
              <w:bottom w:val="single" w:color="000000" w:sz="8"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c>
          <w:tcPr>
            <w:tcW w:w="1080" w:type="dxa"/>
            <w:tcBorders>
              <w:top w:val="single" w:color="auto" w:sz="4" w:space="0"/>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328" w:type="dxa"/>
            <w:tcBorders>
              <w:top w:val="single" w:color="auto" w:sz="4" w:space="0"/>
              <w:left w:val="nil"/>
              <w:bottom w:val="single" w:color="000000" w:sz="8" w:space="0"/>
              <w:right w:val="single" w:color="000000" w:sz="8"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10199</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其他税收收入</w:t>
            </w:r>
          </w:p>
        </w:tc>
        <w:tc>
          <w:tcPr>
            <w:tcW w:w="1080" w:type="dxa"/>
            <w:tcBorders>
              <w:top w:val="nil"/>
              <w:left w:val="nil"/>
              <w:bottom w:val="single" w:color="000000" w:sz="8" w:space="0"/>
              <w:right w:val="single" w:color="000000" w:sz="8" w:space="0"/>
            </w:tcBorders>
            <w:shd w:val="clear" w:color="auto" w:fill="auto"/>
            <w:noWrap/>
            <w:vAlign w:val="bottom"/>
          </w:tcPr>
          <w:p>
            <w:pPr>
              <w:jc w:val="both"/>
              <w:rPr>
                <w:rFonts w:hint="default" w:ascii="Times New Roman" w:hAnsi="Times New Roman" w:eastAsia="宋体" w:cs="Times New Roman"/>
                <w:i w:val="0"/>
                <w:iCs w:val="0"/>
                <w:color w:val="000000"/>
                <w:kern w:val="0"/>
                <w:sz w:val="22"/>
                <w:szCs w:val="22"/>
                <w:u w:val="none"/>
                <w:lang w:val="en-US" w:eastAsia="zh-CN" w:bidi="ar"/>
              </w:rPr>
            </w:pP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328" w:type="dxa"/>
            <w:tcBorders>
              <w:top w:val="nil"/>
              <w:left w:val="nil"/>
              <w:bottom w:val="single" w:color="000000" w:sz="8" w:space="0"/>
              <w:right w:val="single" w:color="000000" w:sz="8"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103</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非税收入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10691</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18499</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73.03%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10302</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专项收入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1084</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650</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10304</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行政事业性收费收入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164</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1159</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606.71%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10305</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罚没收入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1115</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543</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10306</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国有资本经营收入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c>
          <w:tcPr>
            <w:tcW w:w="1328" w:type="dxa"/>
            <w:tcBorders>
              <w:top w:val="nil"/>
              <w:left w:val="nil"/>
              <w:bottom w:val="single" w:color="000000" w:sz="8" w:space="0"/>
              <w:right w:val="single" w:color="000000" w:sz="8" w:space="0"/>
            </w:tcBorders>
            <w:shd w:val="clear" w:color="auto" w:fill="auto"/>
            <w:noWrap/>
            <w:vAlign w:val="bottom"/>
          </w:tcPr>
          <w:p>
            <w:pPr>
              <w:jc w:val="center"/>
              <w:rPr>
                <w:rFonts w:hint="default" w:ascii="Times New Roman" w:hAnsi="Times New Roman" w:eastAsia="宋体" w:cs="Times New Roman"/>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10307</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国有资源（资产）有偿使用收入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5791</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12903</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122.81%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10308</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捐赠收入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1588</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1454</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-8.44%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10309</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政府住房基金收入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902</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1744</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93.35%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80" w:type="dxa"/>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10399</w:t>
            </w:r>
          </w:p>
        </w:tc>
        <w:tc>
          <w:tcPr>
            <w:tcW w:w="3645" w:type="dxa"/>
            <w:tcBorders>
              <w:top w:val="nil"/>
              <w:left w:val="nil"/>
              <w:bottom w:val="single" w:color="000000" w:sz="8" w:space="0"/>
              <w:right w:val="single" w:color="000000" w:sz="8"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其他收入</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47</w:t>
            </w:r>
          </w:p>
        </w:tc>
        <w:tc>
          <w:tcPr>
            <w:tcW w:w="1080"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46</w:t>
            </w:r>
          </w:p>
        </w:tc>
        <w:tc>
          <w:tcPr>
            <w:tcW w:w="1328" w:type="dxa"/>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725" w:type="dxa"/>
            <w:gridSpan w:val="2"/>
            <w:tcBorders>
              <w:top w:val="nil"/>
              <w:left w:val="single" w:color="000000" w:sz="8" w:space="0"/>
              <w:bottom w:val="single" w:color="000000" w:sz="8" w:space="0"/>
              <w:right w:val="single" w:color="000000" w:sz="8"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eastAsia" w:eastAsia="仿宋_GB2312" w:cs="Times New Roman"/>
                <w:b/>
                <w:bCs/>
                <w:i w:val="0"/>
                <w:iCs w:val="0"/>
                <w:color w:val="000000"/>
                <w:kern w:val="0"/>
                <w:sz w:val="22"/>
                <w:szCs w:val="22"/>
                <w:u w:val="none"/>
                <w:lang w:val="en-US" w:eastAsia="zh-CN" w:bidi="ar"/>
              </w:rPr>
              <w:t>一般公共</w:t>
            </w:r>
            <w:r>
              <w:rPr>
                <w:rFonts w:hint="default" w:ascii="Times New Roman" w:hAnsi="Times New Roman" w:eastAsia="仿宋_GB2312" w:cs="Times New Roman"/>
                <w:b/>
                <w:bCs/>
                <w:i w:val="0"/>
                <w:iCs w:val="0"/>
                <w:color w:val="000000"/>
                <w:kern w:val="0"/>
                <w:sz w:val="22"/>
                <w:szCs w:val="22"/>
                <w:u w:val="none"/>
                <w:lang w:val="en-US" w:eastAsia="zh-CN" w:bidi="ar"/>
              </w:rPr>
              <w:t>收入总计</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28060</w:t>
            </w:r>
          </w:p>
        </w:tc>
        <w:tc>
          <w:tcPr>
            <w:tcW w:w="10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eastAsia" w:ascii="Times New Roman" w:hAnsi="Times New Roman" w:eastAsia="宋体" w:cs="Times New Roman"/>
                <w:b/>
                <w:bCs/>
                <w:i w:val="0"/>
                <w:iCs w:val="0"/>
                <w:color w:val="000000"/>
                <w:kern w:val="0"/>
                <w:sz w:val="20"/>
                <w:szCs w:val="20"/>
                <w:u w:val="none"/>
                <w:lang w:val="en-US" w:eastAsia="zh-CN" w:bidi="ar"/>
              </w:rPr>
              <w:t>33076</w:t>
            </w:r>
          </w:p>
        </w:tc>
        <w:tc>
          <w:tcPr>
            <w:tcW w:w="132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eastAsia" w:ascii="Times New Roman" w:hAnsi="Times New Roman" w:eastAsia="宋体" w:cs="Times New Roman"/>
                <w:b/>
                <w:bCs/>
                <w:i w:val="0"/>
                <w:iCs w:val="0"/>
                <w:color w:val="000000"/>
                <w:kern w:val="0"/>
                <w:sz w:val="20"/>
                <w:szCs w:val="20"/>
                <w:u w:val="none"/>
                <w:lang w:val="en-US" w:eastAsia="zh-CN" w:bidi="ar"/>
              </w:rPr>
              <w:t>17.88%</w:t>
            </w:r>
          </w:p>
        </w:tc>
      </w:tr>
    </w:tbl>
    <w:p>
      <w:pPr>
        <w:rPr>
          <w:rFonts w:hint="default" w:ascii="Times New Roman" w:hAnsi="Times New Roman" w:cs="Times New Roman"/>
          <w:highlight w:val="none"/>
        </w:rPr>
      </w:pPr>
    </w:p>
    <w:p>
      <w:pPr>
        <w:rPr>
          <w:rFonts w:hint="default" w:ascii="Times New Roman" w:hAnsi="Times New Roman" w:cs="Times New Roman"/>
          <w:highlight w:val="none"/>
        </w:rPr>
      </w:pPr>
    </w:p>
    <w:p>
      <w:pPr>
        <w:pStyle w:val="2"/>
        <w:rPr>
          <w:rFonts w:hint="default" w:ascii="Times New Roman" w:hAnsi="Times New Roman" w:cs="Times New Roman"/>
          <w:highlight w:val="none"/>
        </w:rPr>
      </w:pPr>
    </w:p>
    <w:p>
      <w:pPr>
        <w:rPr>
          <w:rFonts w:hint="default"/>
        </w:rPr>
      </w:pPr>
    </w:p>
    <w:p>
      <w:pPr>
        <w:pStyle w:val="7"/>
        <w:rPr>
          <w:rFonts w:hint="default"/>
        </w:rPr>
      </w:pPr>
    </w:p>
    <w:p>
      <w:pPr>
        <w:pStyle w:val="7"/>
        <w:rPr>
          <w:rFonts w:hint="default"/>
        </w:rPr>
      </w:pPr>
    </w:p>
    <w:p>
      <w:pPr>
        <w:pStyle w:val="3"/>
        <w:rPr>
          <w:rFonts w:hint="default"/>
        </w:rPr>
      </w:pPr>
    </w:p>
    <w:p>
      <w:pPr>
        <w:rPr>
          <w:rFonts w:hint="default"/>
        </w:rPr>
      </w:pPr>
    </w:p>
    <w:tbl>
      <w:tblPr>
        <w:tblStyle w:val="8"/>
        <w:tblW w:w="964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6"/>
        <w:gridCol w:w="4233"/>
        <w:gridCol w:w="1620"/>
        <w:gridCol w:w="1515"/>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86" w:type="dxa"/>
            <w:tcBorders>
              <w:top w:val="nil"/>
              <w:left w:val="nil"/>
              <w:bottom w:val="nil"/>
              <w:right w:val="nil"/>
            </w:tcBorders>
            <w:shd w:val="clear" w:color="auto" w:fill="FFFFFF"/>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Times New Roman" w:hAnsi="Times New Roman" w:eastAsia="宋体" w:cs="Times New Roman"/>
                <w:i w:val="0"/>
                <w:iCs w:val="0"/>
                <w:color w:val="000000"/>
                <w:kern w:val="0"/>
                <w:sz w:val="20"/>
                <w:szCs w:val="20"/>
                <w:u w:val="none"/>
                <w:lang w:val="en-US" w:eastAsia="zh-CN" w:bidi="ar"/>
              </w:rPr>
              <w:t>表4</w:t>
            </w:r>
          </w:p>
        </w:tc>
        <w:tc>
          <w:tcPr>
            <w:tcW w:w="4233"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620" w:type="dxa"/>
            <w:tcBorders>
              <w:top w:val="nil"/>
              <w:left w:val="nil"/>
              <w:bottom w:val="nil"/>
              <w:right w:val="nil"/>
            </w:tcBorders>
            <w:shd w:val="clear" w:color="auto" w:fill="FFFFFF"/>
            <w:noWrap/>
            <w:vAlign w:val="bottom"/>
          </w:tcPr>
          <w:p>
            <w:pPr>
              <w:jc w:val="center"/>
              <w:rPr>
                <w:rFonts w:hint="eastAsia" w:ascii="宋体" w:hAnsi="宋体" w:eastAsia="宋体" w:cs="宋体"/>
                <w:i w:val="0"/>
                <w:iCs w:val="0"/>
                <w:color w:val="000000"/>
                <w:sz w:val="24"/>
                <w:szCs w:val="24"/>
                <w:u w:val="none"/>
              </w:rPr>
            </w:pPr>
          </w:p>
        </w:tc>
        <w:tc>
          <w:tcPr>
            <w:tcW w:w="1515" w:type="dxa"/>
            <w:tcBorders>
              <w:top w:val="nil"/>
              <w:left w:val="nil"/>
              <w:bottom w:val="nil"/>
              <w:right w:val="nil"/>
            </w:tcBorders>
            <w:shd w:val="clear" w:color="auto" w:fill="FFFFFF"/>
            <w:noWrap/>
            <w:vAlign w:val="bottom"/>
          </w:tcPr>
          <w:p>
            <w:pPr>
              <w:jc w:val="center"/>
              <w:rPr>
                <w:rFonts w:hint="eastAsia" w:ascii="宋体" w:hAnsi="宋体" w:eastAsia="宋体" w:cs="宋体"/>
                <w:i w:val="0"/>
                <w:iCs w:val="0"/>
                <w:color w:val="000000"/>
                <w:sz w:val="24"/>
                <w:szCs w:val="24"/>
                <w:u w:val="none"/>
              </w:rPr>
            </w:pPr>
          </w:p>
        </w:tc>
        <w:tc>
          <w:tcPr>
            <w:tcW w:w="1287" w:type="dxa"/>
            <w:tcBorders>
              <w:top w:val="nil"/>
              <w:left w:val="nil"/>
              <w:bottom w:val="nil"/>
              <w:right w:val="nil"/>
            </w:tcBorders>
            <w:shd w:val="clear" w:color="auto" w:fill="FFFFFF"/>
            <w:noWrap/>
            <w:vAlign w:val="bottom"/>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641" w:type="dxa"/>
            <w:gridSpan w:val="5"/>
            <w:tcBorders>
              <w:top w:val="nil"/>
              <w:left w:val="nil"/>
              <w:bottom w:val="nil"/>
              <w:right w:val="nil"/>
            </w:tcBorders>
            <w:shd w:val="clear" w:color="auto" w:fill="FFFFFF"/>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Times New Roman" w:hAnsi="Times New Roman" w:eastAsia="宋体" w:cs="Times New Roman"/>
                <w:b/>
                <w:bCs/>
                <w:i w:val="0"/>
                <w:iCs w:val="0"/>
                <w:color w:val="000000"/>
                <w:kern w:val="0"/>
                <w:sz w:val="20"/>
                <w:szCs w:val="20"/>
                <w:u w:val="none"/>
                <w:lang w:val="en-US" w:eastAsia="zh-CN" w:bidi="ar"/>
              </w:rPr>
              <w:t>2026年泽普县本级一般公共预算支出表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986"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4233" w:type="dxa"/>
            <w:tcBorders>
              <w:top w:val="nil"/>
              <w:left w:val="nil"/>
              <w:bottom w:val="nil"/>
              <w:right w:val="nil"/>
            </w:tcBorders>
            <w:shd w:val="clear" w:color="auto" w:fill="FFFFFF"/>
            <w:noWrap/>
            <w:vAlign w:val="bottom"/>
          </w:tcPr>
          <w:p>
            <w:pPr>
              <w:rPr>
                <w:rFonts w:hint="eastAsia" w:ascii="宋体" w:hAnsi="宋体" w:eastAsia="宋体" w:cs="宋体"/>
                <w:i w:val="0"/>
                <w:iCs w:val="0"/>
                <w:color w:val="000000"/>
                <w:sz w:val="24"/>
                <w:szCs w:val="24"/>
                <w:u w:val="none"/>
              </w:rPr>
            </w:pPr>
          </w:p>
        </w:tc>
        <w:tc>
          <w:tcPr>
            <w:tcW w:w="1620" w:type="dxa"/>
            <w:tcBorders>
              <w:top w:val="nil"/>
              <w:left w:val="nil"/>
              <w:bottom w:val="nil"/>
              <w:right w:val="nil"/>
            </w:tcBorders>
            <w:shd w:val="clear" w:color="auto" w:fill="FFFFFF"/>
            <w:noWrap/>
            <w:vAlign w:val="bottom"/>
          </w:tcPr>
          <w:p>
            <w:pPr>
              <w:jc w:val="center"/>
              <w:rPr>
                <w:rFonts w:hint="eastAsia" w:ascii="宋体" w:hAnsi="宋体" w:eastAsia="宋体" w:cs="宋体"/>
                <w:i w:val="0"/>
                <w:iCs w:val="0"/>
                <w:color w:val="000000"/>
                <w:sz w:val="24"/>
                <w:szCs w:val="24"/>
                <w:u w:val="none"/>
              </w:rPr>
            </w:pPr>
          </w:p>
        </w:tc>
        <w:tc>
          <w:tcPr>
            <w:tcW w:w="1515" w:type="dxa"/>
            <w:tcBorders>
              <w:top w:val="nil"/>
              <w:left w:val="nil"/>
              <w:bottom w:val="nil"/>
              <w:right w:val="nil"/>
            </w:tcBorders>
            <w:shd w:val="clear" w:color="auto" w:fill="FFFFFF"/>
            <w:noWrap/>
            <w:vAlign w:val="bottom"/>
          </w:tcPr>
          <w:p>
            <w:pPr>
              <w:jc w:val="center"/>
              <w:rPr>
                <w:rFonts w:hint="eastAsia" w:ascii="宋体" w:hAnsi="宋体" w:eastAsia="宋体" w:cs="宋体"/>
                <w:i w:val="0"/>
                <w:iCs w:val="0"/>
                <w:color w:val="000000"/>
                <w:sz w:val="24"/>
                <w:szCs w:val="24"/>
                <w:u w:val="none"/>
              </w:rPr>
            </w:pPr>
          </w:p>
        </w:tc>
        <w:tc>
          <w:tcPr>
            <w:tcW w:w="1287" w:type="dxa"/>
            <w:tcBorders>
              <w:top w:val="nil"/>
              <w:left w:val="nil"/>
              <w:bottom w:val="nil"/>
              <w:right w:val="nil"/>
            </w:tcBorders>
            <w:shd w:val="clear" w:color="auto" w:fill="FFFFFF"/>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Times New Roman" w:hAnsi="Times New Roman" w:eastAsia="宋体" w:cs="Times New Roman"/>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42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w:t>
            </w:r>
            <w:r>
              <w:rPr>
                <w:rFonts w:hint="eastAsia" w:ascii="宋体" w:hAnsi="宋体" w:eastAsia="宋体" w:cs="宋体"/>
                <w:b/>
                <w:bCs/>
                <w:i w:val="0"/>
                <w:iCs w:val="0"/>
                <w:color w:val="000000"/>
                <w:kern w:val="0"/>
                <w:sz w:val="20"/>
                <w:szCs w:val="20"/>
                <w:u w:val="none"/>
                <w:lang w:val="en-US" w:eastAsia="zh-CN" w:bidi="ar"/>
              </w:rPr>
              <w:t>年预算数</w:t>
            </w:r>
          </w:p>
        </w:tc>
        <w:tc>
          <w:tcPr>
            <w:tcW w:w="1515"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w:t>
            </w:r>
            <w:r>
              <w:rPr>
                <w:rFonts w:hint="eastAsia" w:ascii="宋体" w:hAnsi="宋体" w:eastAsia="宋体" w:cs="宋体"/>
                <w:b/>
                <w:bCs/>
                <w:i w:val="0"/>
                <w:iCs w:val="0"/>
                <w:color w:val="000000"/>
                <w:kern w:val="0"/>
                <w:sz w:val="20"/>
                <w:szCs w:val="20"/>
                <w:u w:val="none"/>
                <w:lang w:val="en-US" w:eastAsia="zh-CN" w:bidi="ar"/>
              </w:rPr>
              <w:t>年预算数</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default" w:ascii="宋体" w:hAnsi="宋体" w:eastAsia="宋体" w:cs="宋体"/>
                <w:b/>
                <w:bCs/>
                <w:i w:val="0"/>
                <w:iCs w:val="0"/>
                <w:color w:val="000000"/>
                <w:kern w:val="0"/>
                <w:sz w:val="20"/>
                <w:szCs w:val="20"/>
                <w:u w:val="none"/>
                <w:lang w:val="en-US" w:eastAsia="zh-CN" w:bidi="ar"/>
              </w:rPr>
            </w:pPr>
            <w:r>
              <w:rPr>
                <w:rFonts w:hint="default" w:ascii="宋体" w:hAnsi="宋体" w:eastAsia="宋体" w:cs="宋体"/>
                <w:b/>
                <w:bCs/>
                <w:i w:val="0"/>
                <w:iCs w:val="0"/>
                <w:color w:val="000000"/>
                <w:kern w:val="0"/>
                <w:sz w:val="20"/>
                <w:szCs w:val="20"/>
                <w:u w:val="none"/>
                <w:lang w:val="en-US" w:eastAsia="zh-CN" w:bidi="ar"/>
              </w:rPr>
              <w:t>比上年</w:t>
            </w:r>
            <w:r>
              <w:rPr>
                <w:rFonts w:hint="eastAsia" w:ascii="宋体" w:hAnsi="宋体" w:eastAsia="宋体" w:cs="宋体"/>
                <w:b/>
                <w:bCs/>
                <w:i w:val="0"/>
                <w:iCs w:val="0"/>
                <w:color w:val="000000"/>
                <w:kern w:val="0"/>
                <w:sz w:val="20"/>
                <w:szCs w:val="20"/>
                <w:u w:val="none"/>
                <w:lang w:val="en-US" w:eastAsia="zh-CN" w:bidi="ar"/>
              </w:rPr>
              <w:t>预算数增</w:t>
            </w:r>
            <w:r>
              <w:rPr>
                <w:rFonts w:hint="default" w:ascii="宋体" w:hAnsi="宋体" w:eastAsia="宋体" w:cs="宋体"/>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减</w:t>
            </w:r>
            <w:r>
              <w:rPr>
                <w:rFonts w:hint="default" w:ascii="宋体" w:hAnsi="宋体" w:eastAsia="宋体" w:cs="宋体"/>
                <w:b/>
                <w:bCs/>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一般公共服务支出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33435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34698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人大事务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人大会议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人大立法</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人大监督</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人大代表履职能力提升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代表工作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人大信访工作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其他人大事务支出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政协事务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368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政协会议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委员视察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参政议政</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2010299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其他政协事务支出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政府办公厅（室）及相关机构事务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18374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19556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18266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19442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专项业务及机关事务管理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政务公开审批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参事事务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2010399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其他政府办公厅（室）及相关机构事务支出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发展与改革事务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532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399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战略规划与实施</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日常经济运行调节</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社会事业发展规划</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经济体制改革研究</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物价管理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2010499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其他发展与改革事务支出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统计信息事务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专项统计业务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统计管理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专项普查活动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统计抽样调查</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2010599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其他统计信息事务支出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889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2432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889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2304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预算改革业务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财政国库业务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财政监察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财政委托业务支出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2010699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其他财政事务支出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税收事务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税收业务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2010799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其他税收事务支出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审计事务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审计业务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审计管理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2010899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其他审计事务支出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海关事务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缉私办案</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口岸管理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海关关务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关税征管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2010911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海关监管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2010912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检验检疫</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2010999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其他海关事务支出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纪检监察事务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1476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1633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1476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1587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大案要案查处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派驻派出机构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巡视工作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其他纪检监察事务支出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商贸事务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538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对外贸易管理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国际经济合作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外资管理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国内贸易管理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招商引资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2011399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其他商贸事务支出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知识产权事务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专利审批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知识产权战略和规划</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国际合作与交流</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知识产权宏观管理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商标管理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2011411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原产地地理标志管理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2011499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其他知识产权事务支出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民族事务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民族工作专项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2012399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其他民族事务支出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港澳台事务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港澳事务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台湾事务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2012599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其他港澳台事务支出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档案事务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档案馆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2012699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其他档案事务支出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民主党派及工商联事务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参政议政</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2012899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其他民主党派及工商联事务支出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群众团体事务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823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1196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822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工会事务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2012999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其他群众团体事务支出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588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-99.83%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党委办公厅（室）及相关机构事务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1601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1523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1601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1523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其他党委办公厅（室）及相关机构事务支出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组织事务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5839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2977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5461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812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572.54%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公务员事务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2013299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其他组织事务支出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2165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宣传事务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宣传管理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2013399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其他宣传事务支出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统战事务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854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772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484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宗教事务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431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华侨事务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2013499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其他统战事务支出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对外联络事务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2013599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其他对外联络事务支出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其他共产党事务支出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2013699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其他共产党事务支出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网信事务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信息安全事务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2013799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其他网信事务支出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市场监督管理事务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570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经营主体管理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市场秩序执法</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质量基础</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药品事务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医疗器械事务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化妆品事务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质量安全监管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2013816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食品安全监管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2013899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其他市场监督管理事务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社会工作事务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2013999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其他社会工作事务支出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信访事务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信访业务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2014099</w:t>
            </w:r>
          </w:p>
        </w:tc>
        <w:tc>
          <w:tcPr>
            <w:tcW w:w="4233"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其他信访事务支出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数据事务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2014199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其他数据事务支出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其他一般公共服务支出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2019901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国家赔偿费用支出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2019999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其他一般公共服务支出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外交支出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外交管理事务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其他外交管理事务支出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驻外机构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2020201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驻外使领馆（团、处）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2020202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其他驻外机构支出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对外援助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2020304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援外优惠贷款贴息</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2020306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对外援助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国际组织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国际组织会费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国际组织捐赠</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维和摊款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国际组织股金及基金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2020499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其他国际组织支出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对外合作与交流</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在华国际会议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国际交流活动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对外合作活动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2020599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其他对外合作与交流支出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对外宣传</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2020601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对外宣传</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边界勘界联检</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边界勘界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边界联检</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边界界桩维护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2020799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国际发展合作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2020802</w:t>
            </w:r>
          </w:p>
        </w:tc>
        <w:tc>
          <w:tcPr>
            <w:tcW w:w="4233"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2020899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其他国际发展合作支出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其他外交支出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2029999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其他外交支出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国防支出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军费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现役部队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预备役部队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其他军费支出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国防科研事业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2030401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国防科研事业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专项工程</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2030501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专项工程</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国防动员</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兵役征集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经济动员</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人民防空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交通战备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民兵</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边海防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2030699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其他国防动员支出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其他国防支出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2039999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其他国防支出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公共安全支出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18096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16654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武装警察部队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武装警察部队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其他武装警察部队支出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公安</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17147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15711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15077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12831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2040219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执法办案</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特别业务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特勤业务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2040223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移民事务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2040299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其他公安支出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2020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2820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国家安全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安全业务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2040399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其他国家安全支出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检察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“两房”建设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检察监督</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2040499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其他检察支出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法院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案件审判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案件执行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“两庭”建设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2040550</w:t>
            </w:r>
          </w:p>
        </w:tc>
        <w:tc>
          <w:tcPr>
            <w:tcW w:w="4233"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2040599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其他法院支出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司法</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949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943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757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765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基层司法业务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普法宣传</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律师管理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公共法律服务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国家统一法律职业资格考试</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社区矫正</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2040612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法治建设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2040613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2040699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其他司法支出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监狱</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罪犯生活及医疗卫生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监狱业务及罪犯改造</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狱政设施建设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2040799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其他监狱支出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强制隔离戒毒</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强制隔离戒毒人员生活</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强制隔离戒毒人员教育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所政设施建设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2040899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其他强制隔离戒毒支出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国家保密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保密技术</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保密管理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2040999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其他国家保密支出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缉私警察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缉私业务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2041099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其他缉私警察支出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其他公共安全支出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2049902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国家司法救助支出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2049999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其他公共安全支出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104612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106103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教育管理事务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669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668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其他教育管理事务支出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普通教育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95967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98099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学前教育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15242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15100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小学教育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37401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38215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初中教育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26852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26190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高中教育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8029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11738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高等教育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2050299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其他普通教育支出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8443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6856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职业教育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5568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6439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初等职业教育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中等职业教育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4181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4556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技校教育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1387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1883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高等职业教育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2050399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其他职业教育支出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成人教育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成人初等教育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成人中等教育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成人高等教育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成人广播电视教育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2050499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其他成人教育支出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广播电视教育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广播电视学校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教育电视台</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2050599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其他广播电视教育支出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留学教育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出国留学教育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来华留学教育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2050699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其他留学教育支出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特殊教育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特殊学校教育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专门学校教育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2050799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其他特殊教育支出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进修及培训</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教师进修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干部教育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培训支出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退役士兵能力提升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2050899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其他进修及培训</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教育费附加安排的支出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农村中小学校舍建设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农村中小学教学设施</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城市中小学校舍建设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城市中小学教学设施</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中等职业学校教学设施</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2050999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其他教育费附加安排的支出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其他教育支出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506.06%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其他教育支出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506.06%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科学技术支出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-53.48%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科学技术管理事务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其他科学技术管理事务支出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基础研究</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机构运行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自然科学基金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实验室及相关设施</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重大科学工程</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专项基础科研</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专项技术基础</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2060208</w:t>
            </w:r>
          </w:p>
        </w:tc>
        <w:tc>
          <w:tcPr>
            <w:tcW w:w="4233"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科技人才队伍建设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2060299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其他基础研究支出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应用研究</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机构运行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社会公益研究</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高技术研究</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专项科研试制</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2060399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其他应用研究支出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技术研究与开发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机构运行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科技成果转化与扩散</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-97.26%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共性技术研究与开发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2060499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其他技术研究与开发支出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科技条件与服务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机构运行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技术创新服务体系</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科技条件专项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2060599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其他科技条件与服务支出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社会科学</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2060601</w:t>
            </w:r>
          </w:p>
        </w:tc>
        <w:tc>
          <w:tcPr>
            <w:tcW w:w="4233"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社会科学研究机构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社会科学研究</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社科基金支出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2060699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其他社会科学支出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科学技术普及</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机构运行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2060702</w:t>
            </w:r>
          </w:p>
        </w:tc>
        <w:tc>
          <w:tcPr>
            <w:tcW w:w="4233"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科普活动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青少年科技活动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学术交流活动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科技馆站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2060799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其他科学技术普及支出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科技交流与合作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国际交流与合作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重大科技合作项目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2060899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其他科技交流与合作支出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科技重大项目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科技重大专项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重点研发计划</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2060999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其他科技重大项目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其他科学技术支出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科技奖励</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核应急</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转制科研机构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2069999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其他科学技术支出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文化旅游体育与传媒支出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2943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3044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文化和旅游</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1896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1872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1097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1086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2070102</w:t>
            </w:r>
          </w:p>
        </w:tc>
        <w:tc>
          <w:tcPr>
            <w:tcW w:w="4233"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2070103</w:t>
            </w:r>
          </w:p>
        </w:tc>
        <w:tc>
          <w:tcPr>
            <w:tcW w:w="4233"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图书馆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文化展示及纪念机构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艺术表演场所</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艺术表演团体</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文化活动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群众文化</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文化和旅游交流与合作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文化创作与保护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文化和旅游市场管理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旅游宣传</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2070114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文化和旅游管理事务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656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744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其他文化和旅游支出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240.48%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2070203</w:t>
            </w:r>
          </w:p>
        </w:tc>
        <w:tc>
          <w:tcPr>
            <w:tcW w:w="4233"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文物保护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博物馆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历史名城与古迹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2070299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其他文物支出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体育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运动项目管理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体育竞赛</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体育训练</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体育场馆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群众体育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体育交流与合作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2070399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其他体育支出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新闻出版电影</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新闻通讯</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出版发行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版权管理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电影</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2070699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其他新闻出版电影支出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广播电视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489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监测监管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传输发射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广播电视事务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2070899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其他广播电视支出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其他文化旅游体育与传媒支出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523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文化产业发展专项支出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2079999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其他文化旅游体育与传媒支出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523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社会保障和就业支出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30333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32326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人力资源和社会保障管理事务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896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687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579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综合业务管理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劳动保障监察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就业管理事务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社会保险业务管理事务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社会保险经办机构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劳动关系和维权</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公共就业服务和职业技能鉴定机构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劳动人事争议调解仲裁</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政府特殊津贴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资助留学回国人员</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博士后日常经费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2080116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引进人才费用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314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-98.41%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其他人力资源和社会保障管理事务支出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263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1195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235.67%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1195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266.56%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社会组织管理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行政区划和地名管理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老龄事务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2080299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其他民政管理事务支出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行政事业单位养老支出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8900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9355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行政单位离退休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1276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1532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事业单位离退休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离退休人员管理机构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机关事业单位基本养老保险缴费支出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7052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7274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机关事业单位职业年金缴费支出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对机关事业单位基本养老保险基金的补助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对机关事业单位职业年金的补助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2080599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其他行政事业单位养老支出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企业改革补助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企业关闭破产补助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厂办大集体改革补助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2080699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其他企业改革发展补助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就业补助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1285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2309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就业创业服务补助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职业培训补贴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社会保险补贴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公益性岗位补贴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360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职业技能评价补贴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2080711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就业见习补贴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2080712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高技能人才培养补助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2080713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求职和创业补贴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2080799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其他就业补助支出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1029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1069.32%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抚恤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481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死亡抚恤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伤残抚恤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在乡复员、退伍军人生活补助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义务兵优待</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农村籍退役士兵老年生活补助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光荣院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褒扬纪念</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2080899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其他优抚支出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退役安置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退役士兵安置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军队移交政府的离退休人员安置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军队移交政府离退休干部管理机构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退役士兵管理教育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军队转业干部安置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2080999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其他退役安置支出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社会福利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儿童福利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老年福利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康复辅具</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殡葬</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社会福利事业单位</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养老服务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2081099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其他社会福利支出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残疾人事业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1288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1299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226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残疾人康复</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残疾人就业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残疾人体育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残疾人生活和护理补贴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1046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其他残疾人事业支出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红十字事业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2081699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其他红十字事业支出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最低生活保障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12783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2081901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城市最低生活保障金支出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2950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2081902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农村最低生活保障金支出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9833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临时救助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933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2082001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临时救助支出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933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2082002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流浪乞讨人员救助支出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特困人员救助供养</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1669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城市特困人员救助供养支出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479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农村特困人员救助供养支出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1190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补充道路交通事故社会救助基金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2082401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对道路交通事故社会救助基金的补助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2082402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交强险罚款收入补助基金支出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其他生活救助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2082501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其他城市生活救助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2082502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其他农村生活救助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财政对基本养老保险基金的补助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1228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财政对企业职工基本养老保险基金的补助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财政对城乡居民基本养老保险基金的补助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1031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2082699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财政对其他基本养老保险基金的补助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财政对其他社会保险基金的补助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财政对失业保险基金的补助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财政对工伤保险基金的补助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2082799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其他财政对社会保险基金的补助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退役军人管理事务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拥军优属</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军供保障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2082899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其他退役军人事务管理支出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20830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财政代缴社会保险费支出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2083001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财政代缴城乡居民基本养老保险费支出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2083099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财政代缴其他社会保险费支出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其他社会保障和就业支出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15320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2089999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其他社会保障和就业支出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15320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卫生健康支出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21886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27002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卫生健康管理事务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2664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2514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1860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1925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其他卫生健康管理事务支出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804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589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36.50%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公立医院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4423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5434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综合医院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4277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4538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中医（民族）医院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896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传染病医院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职业病防治医院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精神病医院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妇幼保健医院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儿童医院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其他专科医院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福利医院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行业医院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处理医疗欠费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康复医院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2100213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优抚医院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2100299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其他公立医院支出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基层医疗卫生机构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5754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6989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城市社区卫生机构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乡镇卫生院</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5530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6734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2100399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其他基层医疗卫生机构支出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224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公共卫生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3804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4345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疾病预防控制机构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卫生监督机构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妇幼保健机构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272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精神卫生机构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应急救治机构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采供血机构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其他专业公共卫生机构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基本公共卫生服务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1800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2029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重大公共卫生服务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突发公共卫生事件应急处置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2100499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其他公共卫生支出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1050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1297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计划生育事务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1874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2010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2100716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计划生育机构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2100717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计划生育服务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1874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2010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2100799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其他计划生育事务支出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行政事业单位医疗</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2878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2913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行政单位医疗</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2240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2255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事业单位医疗</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公务员医疗补助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470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其他行政事业单位医疗支出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财政对基本医疗保险基金的补助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财政对职工基本医疗保险基金的补助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财政对城乡居民基本医疗保险基金的补助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2101299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财政对其他基本医疗保险基金的补助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医疗救助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城乡医疗救助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疾病应急救助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2101399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其他医疗救助支出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优抚对象医疗</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2101401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优抚对象医疗补助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2101499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其他优抚对象医疗支出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医疗保障管理事务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485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151.91%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医疗保障政策管理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医疗保障经办事务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2101599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其他医疗保障管理事务支出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中医药事务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中医（民族医）药专项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2101750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2101799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其他中医药事务支出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疾病预防控制事务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2101899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其他疾病预防控制事务支出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育幼服务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2574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托育机构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2101902</w:t>
            </w:r>
          </w:p>
        </w:tc>
        <w:tc>
          <w:tcPr>
            <w:tcW w:w="4233"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育儿补贴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2479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2101999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其他育幼服务支出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其他卫生健康支出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2109999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其他卫生健康支出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节能环保支出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2878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149.39%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环境保护管理事务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生态环境保护宣传</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环境保护法规、规划及标准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生态环境国际合作及履约</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生态环境保护行政许可</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应对气候变化管理事务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2110199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其他环境保护管理事务支出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环境监测与监察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建设项目环评审查与监督</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核与辐射安全监督</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2110299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其他环境监测与监察支出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污染防治</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1400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1844.44%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大气</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1400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1844.44%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水体</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噪声</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固体废弃物与化学品</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放射源和放射性废物监管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辐射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土壤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2110399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其他污染防治支出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自然生态保护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1315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生态保护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1315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农村环境保护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生物及物种资源保护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草原生态修复治理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自然保护地</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2110499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其他自然生态保护支出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森林保护修复</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森林管护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2110502</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社会保险补助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2110503</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政策性社会性支出补助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2110506</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天然林保护工程建设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停伐补助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2110599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其他森林保护修复支出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21107</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风沙荒漠治理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2110704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京津风沙源治理工程建设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2110799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其他风沙荒漠治理支出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21108</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退牧还草</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2110804</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退牧还草工程建设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2110899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其他退牧还草支出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21109</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已垦草原退耕还草</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2110901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已垦草原退耕还草</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21110</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能源节约利用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2111001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能源节约利用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污染减排</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2111101</w:t>
            </w:r>
          </w:p>
        </w:tc>
        <w:tc>
          <w:tcPr>
            <w:tcW w:w="4233" w:type="dxa"/>
            <w:tcBorders>
              <w:top w:val="single" w:color="000000" w:sz="4" w:space="0"/>
              <w:left w:val="nil"/>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生态环境监测与信息</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生态环境执法监察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减排专项支出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清洁生产专项支出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2111199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其他污染减排支出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清洁能源</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2111201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可再生能源</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2111299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其他清洁能源支出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循环经济</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2111301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循环经济</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能源科技装备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能源行业管理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2111411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2111413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农村电网建设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2111450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2111499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其他能源管理事务支出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其他节能环保支出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2119999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其他节能环保支出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3485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10929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841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844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721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844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城管执法</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工程建设标准规范编制与监管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工程建设管理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市政公用行业市场监管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2120109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住宅建设与房地产市场监管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2120110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执业资格注册、资质审查</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2120199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其他城乡社区管理事务支出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城乡社区规划与管理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2120201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城乡社区规划与管理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城乡社区公共设施</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2644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9996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2120303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小城镇基础设施建设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2319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9984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2120399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其他城乡社区公共设施支出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2608.33%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城乡社区环境卫生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2120501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城乡社区环境卫生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建设市场管理与监督</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2120601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建设市场管理与监督</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其他城乡社区支出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2129999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其他城乡社区支出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农林水支出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45505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52901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农业农村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13873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16911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-17.96%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1988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1366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1117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农垦运行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科技转化与推广服务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病虫害控制</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2130109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农产品质量安全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执法监管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统计监测与信息服务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行业业务管理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对外交流与合作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2130119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防灾救灾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稳定农民收入补贴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6135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8656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-29.12%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农业结构调整补贴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农业生产发展</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1132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3436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-67.05%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农村合作经济</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729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655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农产品加工与促销</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2130126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农村社会事业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2130135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农业生态资源保护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-74.16%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2130142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乡村道路建设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2130148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渔业发展</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2130152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对高校毕业生到基层任职补助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2130153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耕地建设与利用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2568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1136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126.06%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2130199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其他农业农村支出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林业和草原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708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-33.90%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森林资源培育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-76.19%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技术推广与转化</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森林资源管理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2130209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森林生态效益补偿</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动植物保护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湿地保护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执法与监督</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2130217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防沙治沙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对外合作与交流</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产业化管理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-64.37%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林区公共支出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2130227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贷款贴息</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林业草原防灾减灾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草原管理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行业业务管理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2130238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退耕还林还草</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245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2130299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其他林业和草原支出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2040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1420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1228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1174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水利行业业务管理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水利工程建设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4185.71%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水利工程运行与维护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长江黄河等流域管理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水利前期工作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2130309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水利执法监督</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水土保持</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水资源节约管理与保护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水质监测</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水文测报</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防汛</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抗旱</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农村水利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水利技术推广</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国际河流治理与管理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2130319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江河湖库水系综合整治</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2130321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大中型水库移民后期扶持专项支出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2130322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水利安全监督</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水利建设征地及移民支出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农村供水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南水北调工程建设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2130337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南水北调工程管理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2130399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其他水利支出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巩固脱贫攻坚成果衔接乡村振兴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22328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23754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农村基础设施建设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1148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149.02%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生产发展</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21180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23293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社会发展</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贷款奖补和贴息</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“三西”农业建设专项补助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2130599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其他巩固脱贫攻坚成果衔接乡村振兴支出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农村综合改革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1224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4629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对村级公益事业建设的补助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1224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1167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对村民委员会和村党支部的补助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2673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对村集体经济组织的补助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农村综合改革示范试点补助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789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2130799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其他农村综合改革支出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普惠金融发展支出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3484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3247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支持农村金融机构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农业保险保费补贴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3388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3076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创业担保贷款贴息及奖补</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补充创业担保贷款基金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2130899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其他普惠金融发展支出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目标价格补贴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2187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2130901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棉花目标价格补贴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2187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2130999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其他目标价格补贴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其他农林水支出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2088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2139901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化解其他公益性乡村债务支出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2139999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其他农林水支出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2088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交通运输支出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2525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1794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公路水路运输</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2525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1793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315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公路建设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1674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1166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公路养护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536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318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2140109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交通运输信息化建设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2140110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公路和运输安全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2140112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公路运输管理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2140114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公路和运输技术标准化建设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水运建设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航道维护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船舶检验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救助打捞</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2140129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内河运输</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远洋运输</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海事管理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航标事业发展支出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水路运输管理支出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2140138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口岸建设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2140199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其他公路水路运输支出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铁路运输</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铁路路网建设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铁路还贷专项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铁路安全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铁路专项运输</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行业监管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2140299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其他铁路运输支出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民用航空运输</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机场建设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空管系统建设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民航还贷专项支出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民用航空安全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民航专项运输</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2140399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其他民用航空运输支出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邮政业支出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行业监管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邮政普遍服务与特殊服务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2140599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其他邮政业支出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其他交通运输支出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2149901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公共交通运营补助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2149999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其他交通运输支出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资源勘探工业信息等支出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-28.27%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资源勘探开发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煤炭勘探开采和洗选</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石油和天然气勘探开采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黑色金属矿勘探和采选</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有色金属矿勘探和采选</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非金属矿勘探和采选</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2150199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其他资源勘探业支出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制造业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纺织业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78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医药制造业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非金属矿物制品业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通信设备、计算机及其他电子设备制造业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交通运输设备制造业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2150209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电气机械及器材制造业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工艺品及其他制造业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石油加工、炼焦及核燃料加工业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化学原料及化学制品制造业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黑色金属冶炼及压延加工业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2150215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有色金属冶炼及压延加工业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2150299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其他制造业支出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建筑业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2150399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其他建筑业支出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工业和信息产业</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-16.22%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战备应急</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专用通信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无线电及信息通信监管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2150516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工程建设及运行维护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2150517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产业发展</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2150550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2150599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其他工业和信息产业支出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国有资产监管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国有企业监事会专项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2150799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其他国有资产监管支出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支持中小企业发展和管理支出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科技型中小企业技术创新基金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中小企业发展专项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减免房租补贴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2150899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其他支持中小企业发展和管理支出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其他资源勘探工业信息等支出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黄金事务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技术改造支出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中药材扶持资金支出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重点产业振兴和技术改造项目贷款贴息</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2159999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其他资源勘探工业信息等支出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商业服务业等支出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315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商业流通事务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114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315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食品流通安全补贴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市场监测及信息管理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民贸企业补贴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2160219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民贸民品贷款贴息</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2160250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114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2160299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其他商业流通事务支出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涉外发展服务支出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外商投资环境建设补助资金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2160699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其他涉外发展服务支出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其他商业服务业等支出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2169901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服务业基础设施建设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2169999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其他商业服务业等支出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金融部门行政支出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安全防卫</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2170150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2170199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金融部门其他行政支出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金融部门监管支出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货币发行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反假币</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重点金融机构监管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金融稽查与案件处理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金融行业电子化建设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从业人员资格考试</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反洗钱</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2170299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金融部门其他监管支出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金融发展支出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政策性银行亏损补贴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利息费用补贴支出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补充资本金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风险基金补助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2170399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其他金融发展支出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金融调控支出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2170499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其他金融调控支出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其他金融支出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2179902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重点企业贷款贴息</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2179999</w:t>
            </w:r>
          </w:p>
        </w:tc>
        <w:tc>
          <w:tcPr>
            <w:tcW w:w="4233"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其他金融支出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援助其他地区支出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一般公共服务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一般公共服务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教育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文化旅游体育与传媒</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文化旅游体育与传媒</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卫生健康</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卫生健康</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节能环保</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节能环保</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农业农村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农业农村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交通运输</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交通运输</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住房保障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住房保障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21999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自然资源海洋气象等支出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977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962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自然资源规划及管理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自然资源利用与保护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自然资源社会公益服务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自然资源行业业务管理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2200109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自然资源调查与确权登记</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土地资源储备支出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地质矿产资源与环境调查</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地质勘查与矿产资源管理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地质转产项目财政贴息</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国外风险勘查</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2200119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地质勘查基金（周转金）支出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海域与海岛管理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自然资源国际合作与海洋权益维护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自然资源卫星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极地考察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深海调查与资源开发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海港航标维护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海水淡化</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无居民海岛使用金支出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海洋战略规划与预警监测</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2200129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基础测绘与地理信息监管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2200150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2200199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其他自然资源事务支出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气象事业机构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气象探测</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气象信息传输及管理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气象预报预测</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2200509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气象装备保障维护</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气象基础设施建设与维修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气象卫星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气象法规与标准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2200514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气象资金审计稽查</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2200599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其他气象事务支出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其他自然资源海洋气象等支出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2209999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其他自然资源海洋气象等支出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住房保障支出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10422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8189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27.27%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保障性安居工程支出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5631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3240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73.80%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沉陷区治理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棚户区改造</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少数民族地区游牧民定居工程</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农村危房改造</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1407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72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1854.17%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老旧小区改造</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921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1779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2210111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配租型住房保障</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2210112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配售型保障性住房</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2210113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城中村改造</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2210199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其他保障性安居工程支出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1389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137.80%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住房改革支出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4791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4949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住房公积金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4791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4949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提租补贴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2210203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购房补贴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城乡社区住宅</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公有住房建设和维修改造支出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住房公积金管理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2210399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其他城乡社区住宅支出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粮油物资储备支出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1179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粮油物资事务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1179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财务和审计支出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信息统计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专项业务活动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国家粮油差价补贴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粮食财务挂账利息补贴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粮食财务挂账消化款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处理陈化粮补贴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粮食风险基金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粮油市场调控专项资金</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2220119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设施建设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2220120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设施安全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2220121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物资保管保养</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2220150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27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59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2220199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其他粮油物资事务支出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能源储备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石油储备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天然铀储备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煤炭储备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成品油储备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天然气储备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2220399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其他能源储备支出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粮油储备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储备粮油补贴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储备粮油差价补贴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储备粮（油）库建设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最低收购价政策支出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2220499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其他粮油储备支出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重要商品储备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棉花储备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食糖储备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肉类储备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化肥储备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农药储备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边销茶储备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羊毛储备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医药储备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2220509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食盐储备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2220510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战略物资储备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2220511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应急物资储备</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2220599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其他重要商品储备支出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灾害防治及应急管理支出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应急管理事务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252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296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灾害风险防治</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国务院安委会专项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安全监管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应急救援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2240109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应急管理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2240150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2240199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其他应急管理支出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消防救援事务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消防应急救援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153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161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2240250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2240299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其他消防救援事务支出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矿山安全</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矿山安全监察事务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矿山应急救援事务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2240450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2240499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其他矿山安全支出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行政运行</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一般行政管理事务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机关服务</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地震监测</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2240505</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地震预测预报</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地震灾害预防</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地震应急救援</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2240508</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地震环境探察</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2240509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防震减灾信息管理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2240510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防震减灾基础管理</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2240550</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地震事业机构</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2240599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其他地震事务支出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自然灾害防治</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地质灾害防治</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森林草原防灾减灾</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2240699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其他自然灾害防治支出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自然灾害救灾及恢复重建支出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自然灾害救灾补助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2240704</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自然灾害灾后重建补助</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2240799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其他自然灾害救灾及恢复重建支出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其他灾害防治及应急管理支出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2249999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其他灾害防治及应急管理支出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预备费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3200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2950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227</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预备费</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3200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2950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21826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58889.19%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年初预留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17148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2290201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年初预留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17148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4678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12543.24%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2299999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4678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12543.24%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债务付息支出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2586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地方政府一般债务付息支出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2586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地方政府一般债券付息支出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2551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2320302</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地方政府向外国政府借款付息支出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地方政府向国际组织借款付息支出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2320399</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地方政府其他一般债务付息支出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jc w:val="center"/>
              <w:rPr>
                <w:rFonts w:hint="default" w:ascii="Times New Roman" w:hAnsi="Times New Roman" w:eastAsia="宋体" w:cs="Times New Roman"/>
                <w:i w:val="0"/>
                <w:iCs w:val="0"/>
                <w:color w:val="000000"/>
                <w:sz w:val="22"/>
                <w:szCs w:val="22"/>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债务发行费用支出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23303</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地方政府一般债务发行费用支出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2330301</w:t>
            </w:r>
          </w:p>
        </w:tc>
        <w:tc>
          <w:tcPr>
            <w:tcW w:w="4233"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地方政府一般债务发行费用支出</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21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一般公共预算支出</w:t>
            </w:r>
            <w:r>
              <w:rPr>
                <w:rFonts w:hint="default" w:ascii="Times New Roman" w:hAnsi="Times New Roman" w:cs="Times New Roman"/>
                <w:b/>
                <w:i w:val="0"/>
                <w:color w:val="000000"/>
                <w:kern w:val="0"/>
                <w:sz w:val="20"/>
                <w:szCs w:val="20"/>
                <w:highlight w:val="none"/>
                <w:u w:val="none"/>
                <w:lang w:val="en-US" w:eastAsia="zh-CN" w:bidi="ar"/>
              </w:rPr>
              <w:t>合计</w:t>
            </w:r>
          </w:p>
        </w:tc>
        <w:tc>
          <w:tcPr>
            <w:tcW w:w="1620"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306739 </w:t>
            </w:r>
          </w:p>
        </w:tc>
        <w:tc>
          <w:tcPr>
            <w:tcW w:w="1515" w:type="dxa"/>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304117 </w:t>
            </w:r>
          </w:p>
        </w:tc>
        <w:tc>
          <w:tcPr>
            <w:tcW w:w="128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0.86%</w:t>
            </w:r>
          </w:p>
        </w:tc>
      </w:tr>
    </w:tbl>
    <w:p>
      <w:pPr>
        <w:pStyle w:val="2"/>
        <w:rPr>
          <w:rFonts w:hint="default" w:ascii="Times New Roman" w:hAnsi="Times New Roman" w:eastAsia="宋体" w:cs="Times New Roman"/>
          <w:highlight w:val="none"/>
          <w:lang w:val="en-US" w:eastAsia="zh-CN"/>
        </w:rPr>
      </w:pPr>
    </w:p>
    <w:p>
      <w:pPr>
        <w:rPr>
          <w:rFonts w:hint="default" w:ascii="Times New Roman" w:hAnsi="Times New Roman" w:cs="Times New Roman"/>
          <w:highlight w:val="none"/>
        </w:rPr>
      </w:pPr>
    </w:p>
    <w:p>
      <w:pPr>
        <w:pStyle w:val="2"/>
        <w:rPr>
          <w:rFonts w:hint="default"/>
        </w:rPr>
      </w:pPr>
    </w:p>
    <w:p>
      <w:pPr>
        <w:pStyle w:val="2"/>
        <w:ind w:left="0" w:leftChars="0" w:firstLine="0" w:firstLineChars="0"/>
        <w:jc w:val="center"/>
        <w:rPr>
          <w:rFonts w:hint="default" w:ascii="Times New Roman" w:hAnsi="Times New Roman" w:cs="Times New Roman"/>
          <w:highlight w:val="none"/>
        </w:rPr>
      </w:pPr>
    </w:p>
    <w:p>
      <w:pPr>
        <w:rPr>
          <w:rFonts w:hint="default" w:ascii="Times New Roman" w:hAnsi="Times New Roman" w:cs="Times New Roman"/>
          <w:highlight w:val="none"/>
        </w:rPr>
      </w:pPr>
    </w:p>
    <w:p>
      <w:pPr>
        <w:pStyle w:val="2"/>
        <w:ind w:left="0" w:leftChars="0" w:firstLine="0" w:firstLineChars="0"/>
        <w:jc w:val="both"/>
        <w:rPr>
          <w:rFonts w:hint="default" w:eastAsia="宋体"/>
          <w:lang w:val="en-US" w:eastAsia="zh-CN"/>
        </w:rPr>
      </w:pPr>
    </w:p>
    <w:p>
      <w:pPr>
        <w:rPr>
          <w:rFonts w:hint="default"/>
          <w:lang w:val="en-US" w:eastAsia="zh-CN"/>
        </w:rPr>
      </w:pPr>
    </w:p>
    <w:tbl>
      <w:tblPr>
        <w:tblStyle w:val="8"/>
        <w:tblpPr w:leftFromText="180" w:rightFromText="180" w:vertAnchor="text" w:horzAnchor="page" w:tblpXSpec="center" w:tblpY="461"/>
        <w:tblOverlap w:val="never"/>
        <w:tblW w:w="99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96"/>
        <w:gridCol w:w="4214"/>
        <w:gridCol w:w="1680"/>
        <w:gridCol w:w="1665"/>
        <w:gridCol w:w="12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96" w:type="dxa"/>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22"/>
                <w:szCs w:val="22"/>
                <w:u w:val="none"/>
              </w:rPr>
            </w:pPr>
            <w:r>
              <w:rPr>
                <w:rFonts w:hint="default" w:ascii="Times New Roman" w:hAnsi="Times New Roman" w:eastAsia="宋体" w:cs="Times New Roman"/>
                <w:i w:val="0"/>
                <w:color w:val="000000"/>
                <w:kern w:val="0"/>
                <w:sz w:val="20"/>
                <w:szCs w:val="20"/>
                <w:highlight w:val="none"/>
                <w:u w:val="none"/>
                <w:lang w:val="en-US" w:eastAsia="zh-CN" w:bidi="ar"/>
              </w:rPr>
              <w:t>表5</w:t>
            </w:r>
          </w:p>
        </w:tc>
        <w:tc>
          <w:tcPr>
            <w:tcW w:w="4214" w:type="dxa"/>
            <w:tcBorders>
              <w:top w:val="nil"/>
              <w:left w:val="nil"/>
              <w:bottom w:val="nil"/>
              <w:right w:val="nil"/>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p>
        </w:tc>
        <w:tc>
          <w:tcPr>
            <w:tcW w:w="1680"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24"/>
                <w:szCs w:val="24"/>
                <w:u w:val="none"/>
              </w:rPr>
            </w:pPr>
          </w:p>
        </w:tc>
        <w:tc>
          <w:tcPr>
            <w:tcW w:w="1665"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24"/>
                <w:szCs w:val="24"/>
                <w:u w:val="none"/>
              </w:rPr>
            </w:pPr>
          </w:p>
        </w:tc>
        <w:tc>
          <w:tcPr>
            <w:tcW w:w="1290"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945" w:type="dxa"/>
            <w:gridSpan w:val="5"/>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w:t>
            </w:r>
            <w:r>
              <w:rPr>
                <w:rFonts w:hint="eastAsia" w:ascii="Times New Roman" w:hAnsi="Times New Roman" w:eastAsia="宋体" w:cs="Times New Roman"/>
                <w:b/>
                <w:bCs/>
                <w:i w:val="0"/>
                <w:iCs w:val="0"/>
                <w:color w:val="000000"/>
                <w:kern w:val="0"/>
                <w:sz w:val="20"/>
                <w:szCs w:val="20"/>
                <w:u w:val="none"/>
                <w:lang w:val="en-US" w:eastAsia="zh-CN" w:bidi="ar"/>
              </w:rPr>
              <w:t>6</w:t>
            </w:r>
            <w:r>
              <w:rPr>
                <w:rStyle w:val="14"/>
                <w:lang w:val="en-US" w:eastAsia="zh-CN" w:bidi="ar"/>
              </w:rPr>
              <w:t>年泽普县本级一般公共预算基本支出预算表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9945" w:type="dxa"/>
            <w:gridSpan w:val="5"/>
            <w:tcBorders>
              <w:top w:val="nil"/>
              <w:left w:val="nil"/>
              <w:bottom w:val="single" w:color="000000" w:sz="8" w:space="0"/>
              <w:right w:val="nil"/>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spacing w:line="200" w:lineRule="exact"/>
              <w:jc w:val="center"/>
              <w:textAlignment w:val="center"/>
              <w:rPr>
                <w:rFonts w:hint="eastAsia"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spacing w:line="200" w:lineRule="exact"/>
              <w:jc w:val="center"/>
              <w:textAlignment w:val="center"/>
              <w:rPr>
                <w:rFonts w:hint="eastAsia"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项</w:t>
            </w:r>
            <w:r>
              <w:rPr>
                <w:rFonts w:hint="default" w:ascii="Times New Roman" w:hAnsi="Times New Roman" w:cs="Times New Roman"/>
                <w:b/>
                <w:bCs/>
                <w:i w:val="0"/>
                <w:color w:val="000000"/>
                <w:kern w:val="0"/>
                <w:sz w:val="20"/>
                <w:szCs w:val="20"/>
                <w:u w:val="none"/>
                <w:lang w:val="en-US" w:eastAsia="zh-CN" w:bidi="ar"/>
              </w:rPr>
              <w:t xml:space="preserve">   </w:t>
            </w:r>
            <w:r>
              <w:rPr>
                <w:rFonts w:hint="default" w:ascii="Times New Roman" w:hAnsi="Times New Roman" w:eastAsia="宋体" w:cs="Times New Roman"/>
                <w:b/>
                <w:bCs/>
                <w:i w:val="0"/>
                <w:color w:val="000000"/>
                <w:kern w:val="0"/>
                <w:sz w:val="20"/>
                <w:szCs w:val="20"/>
                <w:u w:val="none"/>
                <w:lang w:val="en-US" w:eastAsia="zh-CN" w:bidi="ar"/>
              </w:rPr>
              <w:t>目</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spacing w:line="200" w:lineRule="exact"/>
              <w:jc w:val="center"/>
              <w:textAlignment w:val="center"/>
              <w:rPr>
                <w:rFonts w:hint="eastAsia" w:ascii="Times New Roman" w:hAnsi="Times New Roman" w:eastAsia="宋体" w:cs="Times New Roman"/>
                <w:b/>
                <w:bCs/>
                <w:i w:val="0"/>
                <w:color w:val="000000"/>
                <w:kern w:val="0"/>
                <w:sz w:val="20"/>
                <w:szCs w:val="20"/>
                <w:u w:val="none"/>
                <w:lang w:val="en-US" w:eastAsia="zh-CN" w:bidi="ar"/>
              </w:rPr>
            </w:pPr>
            <w:r>
              <w:rPr>
                <w:rFonts w:hint="eastAsia" w:ascii="Times New Roman" w:hAnsi="Times New Roman" w:eastAsia="宋体" w:cs="Times New Roman"/>
                <w:b/>
                <w:bCs/>
                <w:i w:val="0"/>
                <w:color w:val="000000"/>
                <w:kern w:val="0"/>
                <w:sz w:val="20"/>
                <w:szCs w:val="20"/>
                <w:u w:val="none"/>
                <w:lang w:val="en-US" w:eastAsia="zh-CN" w:bidi="ar"/>
              </w:rPr>
              <w:t>2025年预算数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spacing w:line="200" w:lineRule="exact"/>
              <w:jc w:val="center"/>
              <w:textAlignment w:val="center"/>
              <w:rPr>
                <w:rFonts w:hint="eastAsia" w:ascii="Times New Roman" w:hAnsi="Times New Roman" w:eastAsia="宋体" w:cs="Times New Roman"/>
                <w:b/>
                <w:bCs/>
                <w:i w:val="0"/>
                <w:color w:val="000000"/>
                <w:kern w:val="0"/>
                <w:sz w:val="20"/>
                <w:szCs w:val="20"/>
                <w:u w:val="none"/>
                <w:lang w:val="en-US" w:eastAsia="zh-CN" w:bidi="ar"/>
              </w:rPr>
            </w:pPr>
            <w:r>
              <w:rPr>
                <w:rFonts w:hint="eastAsia" w:ascii="Times New Roman" w:hAnsi="Times New Roman" w:eastAsia="宋体" w:cs="Times New Roman"/>
                <w:b/>
                <w:bCs/>
                <w:i w:val="0"/>
                <w:color w:val="000000"/>
                <w:kern w:val="0"/>
                <w:sz w:val="20"/>
                <w:szCs w:val="20"/>
                <w:u w:val="none"/>
                <w:lang w:val="en-US" w:eastAsia="zh-CN" w:bidi="ar"/>
              </w:rPr>
              <w:t>2026年预算数</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00" w:lineRule="exact"/>
              <w:jc w:val="center"/>
              <w:textAlignment w:val="center"/>
              <w:rPr>
                <w:rFonts w:hint="eastAsia" w:ascii="Times New Roman" w:hAnsi="Times New Roman" w:eastAsia="宋体" w:cs="Times New Roman"/>
                <w:b/>
                <w:bCs/>
                <w:i w:val="0"/>
                <w:color w:val="000000"/>
                <w:kern w:val="0"/>
                <w:sz w:val="20"/>
                <w:szCs w:val="20"/>
                <w:u w:val="none"/>
                <w:lang w:val="en-US" w:eastAsia="zh-CN" w:bidi="ar"/>
              </w:rPr>
            </w:pPr>
            <w:r>
              <w:rPr>
                <w:rFonts w:hint="eastAsia" w:ascii="Times New Roman" w:hAnsi="Times New Roman" w:eastAsia="宋体" w:cs="Times New Roman"/>
                <w:b/>
                <w:bCs/>
                <w:i w:val="0"/>
                <w:color w:val="000000"/>
                <w:kern w:val="0"/>
                <w:sz w:val="20"/>
                <w:szCs w:val="20"/>
                <w:u w:val="none"/>
                <w:lang w:val="en-US" w:eastAsia="zh-CN" w:bidi="ar"/>
              </w:rPr>
              <w:t>比上年预算数增(减)%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501</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机关工资福利支出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67543.97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72059.11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6.68%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50101</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工资奖金津补贴</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39908.55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41792.89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50102</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社会保障缴费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8633.39</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10129.02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17.32%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50103</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住房公积金</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4712.94</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4888.39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50199</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其他工资福利支出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14289.08</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15248.81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6.72%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机关商品和服务支出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4248.46</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14682.30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245.59%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50201</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办公经费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3160.97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7314.29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131.39%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50202</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会议费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50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50203</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培训费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464.55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50204</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专用材料购置费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442.35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50205</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委托业务费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307.36</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1403.96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356.78%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50206</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公务接待费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50208</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公务用车运行维护费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486.35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680.75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50209</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维修（护）费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94</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1542.66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1541.13%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50299</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其他商品和服务支出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177.78</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2781.75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1464.71%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503</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机关资本性支出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2518.30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12491.50%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50302</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基础设施建设</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2285.10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50303</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公务用车购置</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14.20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50306</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设备购置</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219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995.00%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504</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机关资本性支出（基本建设）</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1333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50402</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基础设施建设</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1080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50404</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设备购置</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31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50405</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大型修缮</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222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505</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对事业单位经常性补助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92935.03</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103865.91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11.76%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50501</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工资福利支出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91342.7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96014.97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50502</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商品和服务支出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1592.33</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7850.94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393.05%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506</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对事业单位资本性补助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50601</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资本性支出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507</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对企业补助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277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3804.04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1273.30%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50701</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费用补贴</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1915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50702</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利息补贴</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0.35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50799</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其他对企业补助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277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1888.69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581.84%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509</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对个人和家庭的补助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6382.5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73065.27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1044.78%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50901</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社会福利和救助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2353.85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24681.78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948.57%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50902</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助学金</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542.29</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5750.54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960.42%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50903</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个人农业生产补贴</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32579.26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50905</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离退休费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3324.71</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3624.45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50999</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其他对个人和家庭的补助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161.65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6429.24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3877.26%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510</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对社会保障基金补助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383.67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1227.98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220.06%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51002</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对社会保险基金补助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383.67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1227.98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220.06%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511</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债务利息及费用支出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2561.25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51101</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国内债务付息</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2551</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51103</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国内债务发行费用</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10.25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512</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债务还本支出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255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51201</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国内债务还本</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255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599</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72.09</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10113.10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13928.44%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59999</w:t>
            </w: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72.09</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10113.10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13928.44%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9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p>
        </w:tc>
        <w:tc>
          <w:tcPr>
            <w:tcW w:w="421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一般公共预算支出合计</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174683.98</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282669.01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2"/>
                <w:szCs w:val="22"/>
                <w:u w:val="none"/>
                <w:lang w:val="en-US" w:eastAsia="zh-CN" w:bidi="ar"/>
              </w:rPr>
            </w:pPr>
            <w:r>
              <w:rPr>
                <w:rFonts w:hint="eastAsia" w:ascii="Times New Roman" w:hAnsi="Times New Roman" w:eastAsia="宋体" w:cs="Times New Roman"/>
                <w:b/>
                <w:bCs/>
                <w:i w:val="0"/>
                <w:iCs w:val="0"/>
                <w:color w:val="000000"/>
                <w:kern w:val="0"/>
                <w:sz w:val="22"/>
                <w:szCs w:val="22"/>
                <w:u w:val="none"/>
                <w:lang w:val="en-US" w:eastAsia="zh-CN" w:bidi="ar"/>
              </w:rPr>
              <w:t>61.82%</w:t>
            </w:r>
          </w:p>
        </w:tc>
      </w:tr>
    </w:tbl>
    <w:p>
      <w:pPr>
        <w:pStyle w:val="2"/>
        <w:ind w:left="0" w:leftChars="0" w:firstLine="0" w:firstLineChars="0"/>
        <w:jc w:val="both"/>
        <w:rPr>
          <w:rFonts w:hint="default"/>
        </w:rPr>
      </w:pPr>
    </w:p>
    <w:tbl>
      <w:tblPr>
        <w:tblStyle w:val="8"/>
        <w:tblpPr w:leftFromText="180" w:rightFromText="180" w:vertAnchor="text" w:horzAnchor="page" w:tblpXSpec="center" w:tblpY="461"/>
        <w:tblOverlap w:val="never"/>
        <w:tblW w:w="99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6"/>
        <w:gridCol w:w="4274"/>
        <w:gridCol w:w="1680"/>
        <w:gridCol w:w="1665"/>
        <w:gridCol w:w="12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6" w:type="dxa"/>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22"/>
                <w:szCs w:val="22"/>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6</w:t>
            </w:r>
          </w:p>
        </w:tc>
        <w:tc>
          <w:tcPr>
            <w:tcW w:w="4274" w:type="dxa"/>
            <w:tcBorders>
              <w:top w:val="nil"/>
              <w:left w:val="nil"/>
              <w:bottom w:val="nil"/>
              <w:right w:val="nil"/>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p>
        </w:tc>
        <w:tc>
          <w:tcPr>
            <w:tcW w:w="1680"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24"/>
                <w:szCs w:val="24"/>
                <w:u w:val="none"/>
              </w:rPr>
            </w:pPr>
          </w:p>
        </w:tc>
        <w:tc>
          <w:tcPr>
            <w:tcW w:w="1665"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24"/>
                <w:szCs w:val="24"/>
                <w:u w:val="none"/>
              </w:rPr>
            </w:pPr>
          </w:p>
        </w:tc>
        <w:tc>
          <w:tcPr>
            <w:tcW w:w="1290" w:type="dxa"/>
            <w:tcBorders>
              <w:top w:val="nil"/>
              <w:left w:val="nil"/>
              <w:bottom w:val="nil"/>
              <w:right w:val="nil"/>
            </w:tcBorders>
            <w:shd w:val="clear" w:color="auto" w:fill="FFFFFF"/>
            <w:vAlign w:val="bottom"/>
          </w:tcPr>
          <w:p>
            <w:pPr>
              <w:jc w:val="center"/>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945" w:type="dxa"/>
            <w:gridSpan w:val="5"/>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w:t>
            </w:r>
            <w:r>
              <w:rPr>
                <w:rFonts w:hint="eastAsia" w:ascii="Times New Roman" w:hAnsi="Times New Roman" w:eastAsia="宋体" w:cs="Times New Roman"/>
                <w:b/>
                <w:bCs/>
                <w:i w:val="0"/>
                <w:iCs w:val="0"/>
                <w:color w:val="000000"/>
                <w:kern w:val="0"/>
                <w:sz w:val="20"/>
                <w:szCs w:val="20"/>
                <w:u w:val="none"/>
                <w:lang w:val="en-US" w:eastAsia="zh-CN" w:bidi="ar"/>
              </w:rPr>
              <w:t>6</w:t>
            </w:r>
            <w:r>
              <w:rPr>
                <w:rStyle w:val="14"/>
                <w:lang w:val="en-US" w:eastAsia="zh-CN" w:bidi="ar"/>
              </w:rPr>
              <w:t>年泽普县</w:t>
            </w:r>
            <w:r>
              <w:rPr>
                <w:rFonts w:hint="default" w:ascii="Times New Roman" w:hAnsi="Times New Roman" w:cs="Times New Roman"/>
                <w:b/>
                <w:bCs/>
                <w:i w:val="0"/>
                <w:color w:val="000000"/>
                <w:kern w:val="0"/>
                <w:sz w:val="20"/>
                <w:szCs w:val="20"/>
                <w:highlight w:val="none"/>
                <w:u w:val="none"/>
                <w:lang w:val="en-US" w:eastAsia="zh-Hans" w:bidi="ar"/>
              </w:rPr>
              <w:t>本级</w:t>
            </w:r>
            <w:r>
              <w:rPr>
                <w:rFonts w:hint="default" w:ascii="Times New Roman" w:hAnsi="Times New Roman" w:eastAsia="宋体" w:cs="Times New Roman"/>
                <w:b/>
                <w:bCs/>
                <w:i w:val="0"/>
                <w:color w:val="000000"/>
                <w:kern w:val="0"/>
                <w:sz w:val="20"/>
                <w:szCs w:val="20"/>
                <w:highlight w:val="none"/>
                <w:u w:val="none"/>
                <w:lang w:val="en-US" w:eastAsia="zh-CN" w:bidi="ar"/>
              </w:rPr>
              <w:t>一般公共预算政府预算支出经济分类明细表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9945" w:type="dxa"/>
            <w:gridSpan w:val="5"/>
            <w:tcBorders>
              <w:top w:val="nil"/>
              <w:left w:val="nil"/>
              <w:bottom w:val="single" w:color="000000" w:sz="8" w:space="0"/>
              <w:right w:val="nil"/>
            </w:tcBorders>
            <w:shd w:val="clear" w:color="auto" w:fill="FFFFFF"/>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spacing w:line="200" w:lineRule="exact"/>
              <w:jc w:val="center"/>
              <w:textAlignment w:val="center"/>
              <w:rPr>
                <w:rFonts w:hint="eastAsia"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spacing w:line="200" w:lineRule="exact"/>
              <w:jc w:val="center"/>
              <w:textAlignment w:val="center"/>
              <w:rPr>
                <w:rFonts w:hint="eastAsia"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项</w:t>
            </w:r>
            <w:r>
              <w:rPr>
                <w:rFonts w:hint="default" w:ascii="Times New Roman" w:hAnsi="Times New Roman" w:cs="Times New Roman"/>
                <w:b/>
                <w:bCs/>
                <w:i w:val="0"/>
                <w:color w:val="000000"/>
                <w:kern w:val="0"/>
                <w:sz w:val="20"/>
                <w:szCs w:val="20"/>
                <w:u w:val="none"/>
                <w:lang w:val="en-US" w:eastAsia="zh-CN" w:bidi="ar"/>
              </w:rPr>
              <w:t xml:space="preserve">   </w:t>
            </w:r>
            <w:r>
              <w:rPr>
                <w:rFonts w:hint="default" w:ascii="Times New Roman" w:hAnsi="Times New Roman" w:eastAsia="宋体" w:cs="Times New Roman"/>
                <w:b/>
                <w:bCs/>
                <w:i w:val="0"/>
                <w:color w:val="000000"/>
                <w:kern w:val="0"/>
                <w:sz w:val="20"/>
                <w:szCs w:val="20"/>
                <w:u w:val="none"/>
                <w:lang w:val="en-US" w:eastAsia="zh-CN" w:bidi="ar"/>
              </w:rPr>
              <w:t>目</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spacing w:line="200" w:lineRule="exact"/>
              <w:jc w:val="center"/>
              <w:textAlignment w:val="center"/>
              <w:rPr>
                <w:rFonts w:hint="eastAsia" w:ascii="Times New Roman" w:hAnsi="Times New Roman" w:cs="Times New Roman"/>
                <w:b/>
                <w:bCs/>
                <w:i w:val="0"/>
                <w:color w:val="000000"/>
                <w:kern w:val="0"/>
                <w:sz w:val="20"/>
                <w:szCs w:val="20"/>
                <w:u w:val="none"/>
                <w:lang w:val="en-US" w:eastAsia="zh-CN" w:bidi="ar"/>
              </w:rPr>
            </w:pPr>
            <w:r>
              <w:rPr>
                <w:rFonts w:hint="eastAsia" w:ascii="Times New Roman" w:hAnsi="Times New Roman" w:cs="Times New Roman"/>
                <w:b/>
                <w:bCs/>
                <w:i w:val="0"/>
                <w:color w:val="000000"/>
                <w:kern w:val="0"/>
                <w:sz w:val="20"/>
                <w:szCs w:val="20"/>
                <w:u w:val="none"/>
                <w:lang w:val="en-US" w:eastAsia="zh-CN" w:bidi="ar"/>
              </w:rPr>
              <w:t>2025年预算数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spacing w:line="200" w:lineRule="exact"/>
              <w:jc w:val="center"/>
              <w:textAlignment w:val="center"/>
              <w:rPr>
                <w:rFonts w:hint="eastAsia" w:ascii="Times New Roman" w:hAnsi="Times New Roman" w:cs="Times New Roman"/>
                <w:b/>
                <w:bCs/>
                <w:i w:val="0"/>
                <w:color w:val="000000"/>
                <w:kern w:val="0"/>
                <w:sz w:val="20"/>
                <w:szCs w:val="20"/>
                <w:u w:val="none"/>
                <w:lang w:val="en-US" w:eastAsia="zh-CN" w:bidi="ar"/>
              </w:rPr>
            </w:pPr>
            <w:r>
              <w:rPr>
                <w:rFonts w:hint="eastAsia" w:ascii="Times New Roman" w:hAnsi="Times New Roman" w:cs="Times New Roman"/>
                <w:b/>
                <w:bCs/>
                <w:i w:val="0"/>
                <w:color w:val="000000"/>
                <w:kern w:val="0"/>
                <w:sz w:val="20"/>
                <w:szCs w:val="20"/>
                <w:u w:val="none"/>
                <w:lang w:val="en-US" w:eastAsia="zh-CN" w:bidi="ar"/>
              </w:rPr>
              <w:t>2026年预算数</w:t>
            </w:r>
          </w:p>
        </w:tc>
        <w:tc>
          <w:tcPr>
            <w:tcW w:w="12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200" w:lineRule="exact"/>
              <w:jc w:val="center"/>
              <w:textAlignment w:val="center"/>
              <w:rPr>
                <w:rFonts w:hint="eastAsia" w:ascii="Times New Roman" w:hAnsi="Times New Roman" w:cs="Times New Roman"/>
                <w:b/>
                <w:bCs/>
                <w:i w:val="0"/>
                <w:color w:val="000000"/>
                <w:kern w:val="0"/>
                <w:sz w:val="20"/>
                <w:szCs w:val="20"/>
                <w:u w:val="none"/>
                <w:lang w:val="en-US" w:eastAsia="zh-CN" w:bidi="ar"/>
              </w:rPr>
            </w:pPr>
            <w:r>
              <w:rPr>
                <w:rFonts w:hint="eastAsia" w:ascii="Times New Roman" w:hAnsi="Times New Roman" w:cs="Times New Roman"/>
                <w:b/>
                <w:bCs/>
                <w:i w:val="0"/>
                <w:color w:val="000000"/>
                <w:kern w:val="0"/>
                <w:sz w:val="20"/>
                <w:szCs w:val="20"/>
                <w:u w:val="none"/>
                <w:lang w:val="en-US" w:eastAsia="zh-CN" w:bidi="ar"/>
              </w:rPr>
              <w:t>比上年预算数增(减)%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501</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机关工资福利支出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67543.97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72059.11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6.68%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50101</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工资奖金津补贴</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39908.55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41792.89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50102</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社会保障缴费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8633.39</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10129.02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17.32%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50103</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住房公积金</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4712.94</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4888.39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50199</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其他工资福利支出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14289.08</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15248.81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6.72%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机关商品和服务支出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4248.46</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14682.30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245.59%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50201</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办公经费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3160.97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7314.29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131.39%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50202</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会议费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50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50203</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培训费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464.55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50204</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专用材料购置费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442.35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50205</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委托业务费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307.36</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1403.96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356.78%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50206</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公务接待费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50208</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公务用车运行维护费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486.35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680.75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50209</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维修（护）费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94</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1542.66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1541.13%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50299</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其他商品和服务支出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177.78</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2781.75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1464.71%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503</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机关资本性支出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2518.30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12491.50%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50302</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基础设施建设</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2285.10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50303</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公务用车购置</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14.20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50306</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设备购置</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219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995.00%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504</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机关资本性支出（基本建设）</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1333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50402</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基础设施建设</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1080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50404</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设备购置</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31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50405</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大型修缮</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222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505</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对事业单位经常性补助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92935.03</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103865.91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11.76%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50501</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工资福利支出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91342.7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96014.97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50502</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商品和服务支出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1592.33</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7850.94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393.05%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506</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对事业单位资本性补助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50601</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资本性支出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507</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对企业补助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277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3804.04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1273.30%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50701</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费用补贴</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1915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50702</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利息补贴</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0.35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50799</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其他对企业补助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277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1888.69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581.84%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509</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对个人和家庭的补助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6382.5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73065.27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1044.78%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50901</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社会福利和救助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2353.85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24681.78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948.57%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50902</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助学金</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542.29</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5750.54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960.42%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50903</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个人农业生产补贴</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0</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32579.26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50905</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离退休费</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3324.71</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3624.45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9.02%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50999</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其他对个人和家庭的补助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161.65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6429.24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3877.26%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510</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对社会保障基金补助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383.67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1227.98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220.06%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51002</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对社会保险基金补助</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383.67</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1227.98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220.06%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511</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债务利息及费用支出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2561.25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51101</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国内债务付息</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2551</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51103</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国内债务发行费用</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10.25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512</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债务还本支出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255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51201</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国内债务还本</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255</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599</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72.09</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10113.10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13928.44%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r>
              <w:rPr>
                <w:rFonts w:hint="eastAsia" w:ascii="Times New Roman" w:hAnsi="Times New Roman" w:eastAsia="宋体" w:cs="Times New Roman"/>
                <w:i w:val="0"/>
                <w:color w:val="000000"/>
                <w:kern w:val="0"/>
                <w:sz w:val="20"/>
                <w:szCs w:val="20"/>
                <w:u w:val="none"/>
                <w:lang w:val="en-US" w:eastAsia="zh-CN" w:bidi="ar"/>
              </w:rPr>
              <w:t>59999</w:t>
            </w: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其他支出</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72.09</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 xml:space="preserve">10113.10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2"/>
                <w:szCs w:val="22"/>
                <w:u w:val="none"/>
                <w:lang w:val="en-US" w:eastAsia="zh-CN" w:bidi="ar"/>
              </w:rPr>
            </w:pPr>
            <w:r>
              <w:rPr>
                <w:rFonts w:hint="eastAsia" w:ascii="Times New Roman" w:hAnsi="Times New Roman" w:eastAsia="宋体" w:cs="Times New Roman"/>
                <w:i w:val="0"/>
                <w:iCs w:val="0"/>
                <w:color w:val="000000"/>
                <w:kern w:val="0"/>
                <w:sz w:val="22"/>
                <w:szCs w:val="22"/>
                <w:u w:val="none"/>
                <w:lang w:val="en-US" w:eastAsia="zh-CN" w:bidi="ar"/>
              </w:rPr>
              <w:t>13928.44%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36"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left"/>
              <w:textAlignment w:val="center"/>
              <w:rPr>
                <w:rFonts w:hint="eastAsia" w:ascii="Times New Roman" w:hAnsi="Times New Roman" w:eastAsia="宋体" w:cs="Times New Roman"/>
                <w:i w:val="0"/>
                <w:color w:val="000000"/>
                <w:kern w:val="0"/>
                <w:sz w:val="20"/>
                <w:szCs w:val="20"/>
                <w:u w:val="none"/>
                <w:lang w:val="en-US" w:eastAsia="zh-CN" w:bidi="ar"/>
              </w:rPr>
            </w:pPr>
          </w:p>
        </w:tc>
        <w:tc>
          <w:tcPr>
            <w:tcW w:w="4274" w:type="dxa"/>
            <w:tcBorders>
              <w:top w:val="single" w:color="000000" w:sz="4" w:space="0"/>
              <w:left w:val="single" w:color="000000" w:sz="4" w:space="0"/>
              <w:bottom w:val="single" w:color="000000" w:sz="4" w:space="0"/>
              <w:right w:val="single" w:color="000000" w:sz="4" w:space="0"/>
            </w:tcBorders>
            <w:shd w:val="clear" w:color="auto" w:fill="FFFFFF"/>
            <w:noWrap/>
            <w:vAlign w:val="top"/>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一般公共预算支出合计</w:t>
            </w: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174683.98</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2"/>
                <w:szCs w:val="22"/>
                <w:u w:val="none"/>
                <w:lang w:val="en-US" w:eastAsia="zh-CN" w:bidi="ar"/>
              </w:rPr>
            </w:pPr>
            <w:r>
              <w:rPr>
                <w:rFonts w:hint="default" w:ascii="Times New Roman" w:hAnsi="Times New Roman" w:eastAsia="宋体" w:cs="Times New Roman"/>
                <w:b/>
                <w:bCs/>
                <w:i w:val="0"/>
                <w:iCs w:val="0"/>
                <w:color w:val="000000"/>
                <w:kern w:val="0"/>
                <w:sz w:val="22"/>
                <w:szCs w:val="22"/>
                <w:u w:val="none"/>
                <w:lang w:val="en-US" w:eastAsia="zh-CN" w:bidi="ar"/>
              </w:rPr>
              <w:t xml:space="preserve">282669.01 </w:t>
            </w:r>
          </w:p>
        </w:tc>
        <w:tc>
          <w:tcPr>
            <w:tcW w:w="12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2"/>
                <w:szCs w:val="22"/>
                <w:u w:val="none"/>
                <w:lang w:val="en-US" w:eastAsia="zh-CN" w:bidi="ar"/>
              </w:rPr>
            </w:pPr>
            <w:r>
              <w:rPr>
                <w:rFonts w:hint="eastAsia" w:ascii="Times New Roman" w:hAnsi="Times New Roman" w:eastAsia="宋体" w:cs="Times New Roman"/>
                <w:b/>
                <w:bCs/>
                <w:i w:val="0"/>
                <w:iCs w:val="0"/>
                <w:color w:val="000000"/>
                <w:kern w:val="0"/>
                <w:sz w:val="22"/>
                <w:szCs w:val="22"/>
                <w:u w:val="none"/>
                <w:lang w:val="en-US" w:eastAsia="zh-CN" w:bidi="ar"/>
              </w:rPr>
              <w:t>61.82%</w:t>
            </w:r>
          </w:p>
        </w:tc>
      </w:tr>
    </w:tbl>
    <w:p>
      <w:pPr>
        <w:rPr>
          <w:rFonts w:hint="default"/>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cs="Times New Roman"/>
          <w:b/>
          <w:bCs/>
          <w:sz w:val="24"/>
          <w:szCs w:val="24"/>
          <w:highlight w:val="none"/>
          <w:lang w:val="en-US" w:eastAsia="zh-Hans"/>
        </w:rPr>
      </w:pPr>
    </w:p>
    <w:tbl>
      <w:tblPr>
        <w:tblStyle w:val="8"/>
        <w:tblW w:w="888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86"/>
        <w:gridCol w:w="3728"/>
        <w:gridCol w:w="1432"/>
        <w:gridCol w:w="1390"/>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986"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表</w:t>
            </w:r>
            <w:r>
              <w:rPr>
                <w:rFonts w:hint="default" w:ascii="Times New Roman" w:hAnsi="Times New Roman" w:cs="Times New Roman"/>
                <w:i w:val="0"/>
                <w:color w:val="000000"/>
                <w:kern w:val="0"/>
                <w:sz w:val="20"/>
                <w:szCs w:val="20"/>
                <w:u w:val="none"/>
                <w:lang w:eastAsia="zh-CN" w:bidi="ar"/>
              </w:rPr>
              <w:t>7</w:t>
            </w:r>
          </w:p>
        </w:tc>
        <w:tc>
          <w:tcPr>
            <w:tcW w:w="3728" w:type="dxa"/>
            <w:noWrap w:val="0"/>
            <w:vAlign w:val="center"/>
          </w:tcPr>
          <w:p>
            <w:pPr>
              <w:rPr>
                <w:rFonts w:hint="default" w:ascii="Times New Roman" w:hAnsi="Times New Roman" w:eastAsia="宋体" w:cs="Times New Roman"/>
                <w:i w:val="0"/>
                <w:color w:val="000000"/>
                <w:sz w:val="20"/>
                <w:szCs w:val="20"/>
                <w:u w:val="none"/>
              </w:rPr>
            </w:pPr>
          </w:p>
        </w:tc>
        <w:tc>
          <w:tcPr>
            <w:tcW w:w="1432" w:type="dxa"/>
            <w:noWrap w:val="0"/>
            <w:vAlign w:val="center"/>
          </w:tcPr>
          <w:p>
            <w:pPr>
              <w:rPr>
                <w:rFonts w:hint="default" w:ascii="Times New Roman" w:hAnsi="Times New Roman" w:eastAsia="宋体" w:cs="Times New Roman"/>
                <w:i w:val="0"/>
                <w:color w:val="000000"/>
                <w:sz w:val="20"/>
                <w:szCs w:val="20"/>
                <w:u w:val="none"/>
              </w:rPr>
            </w:pPr>
          </w:p>
        </w:tc>
        <w:tc>
          <w:tcPr>
            <w:tcW w:w="1390" w:type="dxa"/>
            <w:noWrap w:val="0"/>
            <w:vAlign w:val="center"/>
          </w:tcPr>
          <w:p>
            <w:pPr>
              <w:rPr>
                <w:rFonts w:hint="default" w:ascii="Times New Roman" w:hAnsi="Times New Roman" w:eastAsia="宋体" w:cs="Times New Roman"/>
                <w:i w:val="0"/>
                <w:color w:val="000000"/>
                <w:sz w:val="20"/>
                <w:szCs w:val="20"/>
                <w:u w:val="none"/>
              </w:rPr>
            </w:pPr>
          </w:p>
        </w:tc>
        <w:tc>
          <w:tcPr>
            <w:tcW w:w="1350" w:type="dxa"/>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8886"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6</w:t>
            </w:r>
            <w:r>
              <w:rPr>
                <w:rFonts w:hint="default" w:ascii="Times New Roman" w:hAnsi="Times New Roman" w:eastAsia="宋体" w:cs="Times New Roman"/>
                <w:b/>
                <w:bCs/>
                <w:i w:val="0"/>
                <w:color w:val="000000"/>
                <w:kern w:val="0"/>
                <w:sz w:val="20"/>
                <w:szCs w:val="20"/>
                <w:u w:val="none"/>
                <w:lang w:val="en-US" w:eastAsia="zh-CN" w:bidi="ar"/>
              </w:rPr>
              <w:t>年</w:t>
            </w:r>
            <w:r>
              <w:rPr>
                <w:rFonts w:hint="default" w:ascii="Times New Roman" w:hAnsi="Times New Roman" w:cs="Times New Roman"/>
                <w:b/>
                <w:bCs/>
                <w:i w:val="0"/>
                <w:color w:val="000000"/>
                <w:kern w:val="0"/>
                <w:sz w:val="20"/>
                <w:szCs w:val="20"/>
                <w:u w:val="none"/>
                <w:lang w:val="en-US" w:eastAsia="zh-CN" w:bidi="ar"/>
              </w:rPr>
              <w:t>泽普县一般公共预算</w:t>
            </w:r>
            <w:r>
              <w:rPr>
                <w:rFonts w:hint="default" w:ascii="Times New Roman" w:hAnsi="Times New Roman" w:eastAsia="宋体" w:cs="Times New Roman"/>
                <w:b/>
                <w:bCs/>
                <w:i w:val="0"/>
                <w:color w:val="000000"/>
                <w:kern w:val="0"/>
                <w:sz w:val="20"/>
                <w:szCs w:val="20"/>
                <w:u w:val="none"/>
                <w:lang w:val="en-US" w:eastAsia="zh-CN" w:bidi="ar"/>
              </w:rPr>
              <w:t>对下</w:t>
            </w:r>
            <w:r>
              <w:rPr>
                <w:rFonts w:hint="default" w:ascii="Times New Roman" w:hAnsi="Times New Roman" w:cs="Times New Roman"/>
                <w:b/>
                <w:bCs/>
                <w:i w:val="0"/>
                <w:color w:val="000000"/>
                <w:kern w:val="0"/>
                <w:sz w:val="20"/>
                <w:szCs w:val="20"/>
                <w:u w:val="none"/>
                <w:lang w:val="en-US" w:eastAsia="zh-Hans" w:bidi="ar"/>
              </w:rPr>
              <w:t>转移支付</w:t>
            </w:r>
            <w:r>
              <w:rPr>
                <w:rFonts w:hint="default" w:ascii="Times New Roman" w:hAnsi="Times New Roman" w:eastAsia="宋体" w:cs="Times New Roman"/>
                <w:b/>
                <w:bCs/>
                <w:i w:val="0"/>
                <w:color w:val="000000"/>
                <w:kern w:val="0"/>
                <w:sz w:val="20"/>
                <w:szCs w:val="20"/>
                <w:u w:val="none"/>
                <w:lang w:val="en-US" w:eastAsia="zh-CN" w:bidi="ar"/>
              </w:rPr>
              <w:t>安排情况</w:t>
            </w:r>
            <w:r>
              <w:rPr>
                <w:rFonts w:hint="default" w:ascii="Times New Roman" w:hAnsi="Times New Roman" w:cs="Times New Roman"/>
                <w:b/>
                <w:bCs/>
                <w:i w:val="0"/>
                <w:color w:val="000000"/>
                <w:kern w:val="0"/>
                <w:sz w:val="20"/>
                <w:szCs w:val="20"/>
                <w:u w:val="none"/>
                <w:lang w:val="en-US" w:eastAsia="zh-CN" w:bidi="ar"/>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986" w:type="dxa"/>
            <w:noWrap w:val="0"/>
            <w:vAlign w:val="center"/>
          </w:tcPr>
          <w:p>
            <w:pPr>
              <w:jc w:val="center"/>
              <w:rPr>
                <w:rFonts w:hint="default" w:ascii="Times New Roman" w:hAnsi="Times New Roman" w:eastAsia="宋体" w:cs="Times New Roman"/>
                <w:i w:val="0"/>
                <w:color w:val="000000"/>
                <w:sz w:val="20"/>
                <w:szCs w:val="20"/>
                <w:u w:val="none"/>
              </w:rPr>
            </w:pPr>
          </w:p>
        </w:tc>
        <w:tc>
          <w:tcPr>
            <w:tcW w:w="3728" w:type="dxa"/>
            <w:noWrap w:val="0"/>
            <w:vAlign w:val="center"/>
          </w:tcPr>
          <w:p>
            <w:pPr>
              <w:jc w:val="center"/>
              <w:rPr>
                <w:rFonts w:hint="default" w:ascii="Times New Roman" w:hAnsi="Times New Roman" w:eastAsia="宋体" w:cs="Times New Roman"/>
                <w:i w:val="0"/>
                <w:color w:val="000000"/>
                <w:sz w:val="20"/>
                <w:szCs w:val="20"/>
                <w:u w:val="none"/>
              </w:rPr>
            </w:pPr>
          </w:p>
        </w:tc>
        <w:tc>
          <w:tcPr>
            <w:tcW w:w="1432" w:type="dxa"/>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372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项</w:t>
            </w:r>
            <w:r>
              <w:rPr>
                <w:rFonts w:hint="default" w:ascii="Times New Roman" w:hAnsi="Times New Roman" w:cs="Times New Roman"/>
                <w:b/>
                <w:bCs/>
                <w:i w:val="0"/>
                <w:color w:val="000000"/>
                <w:kern w:val="0"/>
                <w:sz w:val="20"/>
                <w:szCs w:val="20"/>
                <w:u w:val="none"/>
                <w:lang w:val="en-US" w:eastAsia="zh-CN" w:bidi="ar"/>
              </w:rPr>
              <w:t xml:space="preserve">   </w:t>
            </w:r>
            <w:r>
              <w:rPr>
                <w:rFonts w:hint="default" w:ascii="Times New Roman" w:hAnsi="Times New Roman" w:eastAsia="宋体" w:cs="Times New Roman"/>
                <w:b/>
                <w:bCs/>
                <w:i w:val="0"/>
                <w:color w:val="000000"/>
                <w:kern w:val="0"/>
                <w:sz w:val="20"/>
                <w:szCs w:val="20"/>
                <w:u w:val="none"/>
                <w:lang w:val="en-US" w:eastAsia="zh-CN" w:bidi="ar"/>
              </w:rPr>
              <w:t>目</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13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w:t>
            </w:r>
            <w:r>
              <w:rPr>
                <w:rFonts w:hint="eastAsia" w:cs="Times New Roman"/>
                <w:b/>
                <w:bCs/>
                <w:i w:val="0"/>
                <w:color w:val="000000"/>
                <w:kern w:val="0"/>
                <w:sz w:val="20"/>
                <w:szCs w:val="20"/>
                <w:u w:val="none"/>
                <w:lang w:val="en-US" w:eastAsia="zh-CN" w:bidi="ar"/>
              </w:rPr>
              <w:t>26</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比上年</w:t>
            </w:r>
            <w:r>
              <w:rPr>
                <w:rFonts w:hint="default" w:ascii="Times New Roman" w:hAnsi="Times New Roman" w:cs="Times New Roman"/>
                <w:b/>
                <w:bCs/>
                <w:i w:val="0"/>
                <w:color w:val="000000"/>
                <w:kern w:val="0"/>
                <w:sz w:val="20"/>
                <w:szCs w:val="20"/>
                <w:u w:val="none"/>
                <w:lang w:val="en-US" w:eastAsia="zh-CN" w:bidi="ar"/>
              </w:rPr>
              <w:t>预算数</w:t>
            </w:r>
            <w:r>
              <w:rPr>
                <w:rFonts w:hint="default" w:ascii="Times New Roman" w:hAnsi="Times New Roman" w:eastAsia="宋体" w:cs="Times New Roman"/>
                <w:b/>
                <w:bCs/>
                <w:i w:val="0"/>
                <w:color w:val="000000"/>
                <w:kern w:val="0"/>
                <w:sz w:val="20"/>
                <w:szCs w:val="20"/>
                <w:u w:val="none"/>
                <w:lang w:val="en-US" w:eastAsia="zh-CN" w:bidi="ar"/>
              </w:rPr>
              <w:t>增 (减)%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sz w:val="20"/>
                <w:szCs w:val="20"/>
                <w:u w:val="none"/>
              </w:rPr>
            </w:pPr>
          </w:p>
        </w:tc>
        <w:tc>
          <w:tcPr>
            <w:tcW w:w="372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一、返还性支出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2300102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所得税基数返还支出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2300103</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成品油税费改革税收返还支出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2300104</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增值税税收返还支出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2300105</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消费税税收返还支出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2300106</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增值税“五五分享”税收返还支出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二、一般性转移支付</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2300201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体制补助支出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2300202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均衡性转移支付支出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2300207</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县级基本财力保障机制奖补资金支出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2300208</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结算补助支出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2300212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资源枯竭型城市转移支付补助支出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2300214</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企业事业单位划转补助支出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2300225</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产粮（油）大县奖励资金支出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2300226</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重点生态功能区转移支付支出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2300227</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固定数额补助支出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2300228</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革命老区转移支付支出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2300229</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民族地区转移支付支出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2300230</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边境地区转移支付支出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2300231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巩固脱贫攻坚成果衔接乡村振兴转移支付支出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一般公共服务共同财政事权转移支付支出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外交共同财政事权转移支付支出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2300243</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国防共同财政事权转移支付支出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2300244</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公共安全共同财政事权转移支付支出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2300245</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教育共同财政事权转移支付支出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2300246</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科学技术共同财政事权转移支付支出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2300247</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文化旅游体育与传媒共同财政事权转移支付支出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2300248</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社会保障和就业共同财政事权转移支付支出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2300249</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医疗卫生共同财政事权转移支付支出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2300250</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节能环保共同财政事权转移支付支出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城乡社区共同财政事权转移支付支出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农林水共同财政事权转移支付支出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2300253</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交通运输共同财政事权转移支付支出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2300254</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资源勘探工业信息等共同财政事权转移支付支出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2300255</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商业服务业等共同财政事权转移支付支出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2300256</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金融共同财政事权转移支付支出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2300257</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自然资源海洋气象等共同财政事权转移支付支出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2300258</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住房保障共同财政事权转移支付支出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2300259</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粮油物资储备共同财政事权转移支付支出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2300260</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灾害防治及应急管理共同财政事权转移支付支出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2300269</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其他共同财政事权转移支付支出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cs="Times New Roman"/>
                <w:i w:val="0"/>
                <w:color w:val="000000"/>
                <w:sz w:val="20"/>
                <w:szCs w:val="20"/>
                <w:u w:val="none"/>
              </w:rPr>
            </w:pP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其他一般性转移支付支出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三、专项转移支付</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一般公共服务</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外交</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2300303</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国防</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2300304</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公共安全</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2300305</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教育</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2300306</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科学技术</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2300307</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文化旅游体育与传媒</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2300308</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社会保障和就业</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2300310</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卫生健康</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2300311</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节能环保</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2"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2300312</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城乡社区</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2300313</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农林水</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2300314</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交通运输</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2300315</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资源勘探工业信息等</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2300316</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商业服务业等</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2300317</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金融</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2300320</w:t>
            </w: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自然资源海洋气象等</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jc w:val="center"/>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u w:val="none"/>
              </w:rPr>
            </w:pPr>
          </w:p>
        </w:tc>
        <w:tc>
          <w:tcPr>
            <w:tcW w:w="3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lang w:val="en-US"/>
              </w:rPr>
            </w:pP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对</w:t>
            </w:r>
            <w:r>
              <w:rPr>
                <w:rFonts w:hint="default" w:ascii="Times New Roman" w:hAnsi="Times New Roman" w:cs="Times New Roman"/>
                <w:b/>
                <w:i w:val="0"/>
                <w:color w:val="000000"/>
                <w:kern w:val="0"/>
                <w:sz w:val="20"/>
                <w:szCs w:val="20"/>
                <w:u w:val="none"/>
                <w:lang w:val="en-US" w:eastAsia="zh-CN" w:bidi="ar"/>
              </w:rPr>
              <w:t>下</w:t>
            </w:r>
            <w:r>
              <w:rPr>
                <w:rFonts w:hint="default" w:ascii="Times New Roman" w:hAnsi="Times New Roman" w:eastAsia="宋体" w:cs="Times New Roman"/>
                <w:b/>
                <w:i w:val="0"/>
                <w:color w:val="000000"/>
                <w:kern w:val="0"/>
                <w:sz w:val="20"/>
                <w:szCs w:val="20"/>
                <w:u w:val="none"/>
                <w:lang w:val="en-US" w:eastAsia="zh-CN" w:bidi="ar"/>
              </w:rPr>
              <w:t>税收返还和转移支付</w:t>
            </w:r>
            <w:r>
              <w:rPr>
                <w:rFonts w:hint="default" w:ascii="Times New Roman" w:hAnsi="Times New Roman" w:cs="Times New Roman"/>
                <w:b/>
                <w:i w:val="0"/>
                <w:color w:val="000000"/>
                <w:kern w:val="0"/>
                <w:sz w:val="20"/>
                <w:szCs w:val="20"/>
                <w:u w:val="none"/>
                <w:lang w:val="en-US" w:eastAsia="zh-CN" w:bidi="ar"/>
              </w:rPr>
              <w:t>合计</w:t>
            </w: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p>
        </w:tc>
      </w:tr>
    </w:tbl>
    <w:p>
      <w:pPr>
        <w:pStyle w:val="3"/>
        <w:ind w:left="0" w:leftChars="0" w:firstLine="0" w:firstLineChars="0"/>
        <w:rPr>
          <w:rFonts w:hint="eastAsia" w:ascii="宋体" w:hAnsi="宋体" w:eastAsia="宋体" w:cs="宋体"/>
          <w:b/>
          <w:bCs/>
          <w:i w:val="0"/>
          <w:color w:val="000000"/>
          <w:kern w:val="0"/>
          <w:sz w:val="20"/>
          <w:szCs w:val="20"/>
          <w:u w:val="none"/>
          <w:lang w:val="en-US" w:eastAsia="zh-CN" w:bidi="ar"/>
        </w:rPr>
      </w:pPr>
      <w:r>
        <w:rPr>
          <w:rFonts w:hint="eastAsia" w:ascii="宋体" w:hAnsi="宋体" w:eastAsia="宋体" w:cs="宋体"/>
          <w:b/>
          <w:bCs/>
          <w:i w:val="0"/>
          <w:color w:val="000000"/>
          <w:kern w:val="0"/>
          <w:sz w:val="20"/>
          <w:szCs w:val="20"/>
          <w:u w:val="none"/>
          <w:lang w:val="en-US" w:eastAsia="zh-CN" w:bidi="ar"/>
        </w:rPr>
        <w:t>备注：2026年泽普县无一般公共预算对下</w:t>
      </w:r>
      <w:r>
        <w:rPr>
          <w:rFonts w:hint="eastAsia" w:ascii="宋体" w:hAnsi="宋体" w:eastAsia="宋体" w:cs="宋体"/>
          <w:b/>
          <w:bCs/>
          <w:i w:val="0"/>
          <w:color w:val="000000"/>
          <w:kern w:val="0"/>
          <w:sz w:val="20"/>
          <w:szCs w:val="20"/>
          <w:u w:val="none"/>
          <w:lang w:val="en-US" w:eastAsia="zh-Hans" w:bidi="ar"/>
        </w:rPr>
        <w:t>转移支付</w:t>
      </w:r>
      <w:r>
        <w:rPr>
          <w:rFonts w:hint="eastAsia" w:ascii="宋体" w:hAnsi="宋体" w:eastAsia="宋体" w:cs="宋体"/>
          <w:b/>
          <w:bCs/>
          <w:i w:val="0"/>
          <w:color w:val="000000"/>
          <w:kern w:val="0"/>
          <w:sz w:val="20"/>
          <w:szCs w:val="20"/>
          <w:u w:val="none"/>
          <w:lang w:val="en-US" w:eastAsia="zh-CN" w:bidi="ar"/>
        </w:rPr>
        <w:t>安排</w:t>
      </w: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pStyle w:val="2"/>
        <w:ind w:left="0" w:leftChars="0" w:firstLine="0" w:firstLineChars="0"/>
        <w:rPr>
          <w:rFonts w:hint="default"/>
          <w:lang w:val="en-US" w:eastAsia="zh-Hans"/>
        </w:rPr>
      </w:pPr>
    </w:p>
    <w:p>
      <w:pPr>
        <w:pStyle w:val="7"/>
        <w:rPr>
          <w:rFonts w:hint="default" w:ascii="Times New Roman" w:hAnsi="Times New Roman" w:cs="Times New Roman"/>
          <w:b/>
          <w:bCs/>
          <w:sz w:val="24"/>
          <w:szCs w:val="24"/>
          <w:highlight w:val="none"/>
          <w:lang w:val="en-US" w:eastAsia="zh-Hans"/>
        </w:rPr>
      </w:pPr>
    </w:p>
    <w:tbl>
      <w:tblPr>
        <w:tblStyle w:val="8"/>
        <w:tblW w:w="84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71"/>
        <w:gridCol w:w="1620"/>
        <w:gridCol w:w="17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517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表8</w:t>
            </w:r>
          </w:p>
        </w:tc>
        <w:tc>
          <w:tcPr>
            <w:tcW w:w="1620"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707"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98" w:type="dxa"/>
            <w:gridSpan w:val="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w:t>
            </w:r>
            <w:r>
              <w:rPr>
                <w:rFonts w:hint="eastAsia" w:cs="Times New Roman"/>
                <w:b/>
                <w:bCs/>
                <w:i w:val="0"/>
                <w:iCs w:val="0"/>
                <w:color w:val="000000"/>
                <w:kern w:val="0"/>
                <w:sz w:val="20"/>
                <w:szCs w:val="20"/>
                <w:u w:val="none"/>
                <w:lang w:val="en-US" w:eastAsia="zh-CN" w:bidi="ar"/>
              </w:rPr>
              <w:t>6</w:t>
            </w:r>
            <w:r>
              <w:rPr>
                <w:rFonts w:hint="default" w:ascii="Times New Roman" w:hAnsi="Times New Roman" w:eastAsia="宋体" w:cs="Times New Roman"/>
                <w:b/>
                <w:bCs/>
                <w:i w:val="0"/>
                <w:iCs w:val="0"/>
                <w:color w:val="000000"/>
                <w:kern w:val="0"/>
                <w:sz w:val="20"/>
                <w:szCs w:val="20"/>
                <w:u w:val="none"/>
                <w:lang w:val="en-US" w:eastAsia="zh-CN" w:bidi="ar"/>
              </w:rPr>
              <w:t>年泽普县一般公共预算对下转移支付情况表(</w:t>
            </w:r>
            <w:r>
              <w:rPr>
                <w:rFonts w:hint="eastAsia" w:ascii="宋体" w:hAnsi="宋体" w:eastAsia="宋体" w:cs="宋体"/>
                <w:b/>
                <w:bCs/>
                <w:i w:val="0"/>
                <w:iCs w:val="0"/>
                <w:color w:val="000000"/>
                <w:kern w:val="0"/>
                <w:sz w:val="20"/>
                <w:szCs w:val="20"/>
                <w:u w:val="none"/>
                <w:lang w:val="en-US" w:eastAsia="zh-CN" w:bidi="ar"/>
              </w:rPr>
              <w:t>分地区、项目</w:t>
            </w:r>
            <w:r>
              <w:rPr>
                <w:rFonts w:hint="default" w:ascii="Times New Roman" w:hAnsi="Times New Roman" w:eastAsia="宋体" w:cs="Times New Roman"/>
                <w:b/>
                <w:bCs/>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5171" w:type="dxa"/>
            <w:tcBorders>
              <w:top w:val="nil"/>
              <w:left w:val="nil"/>
              <w:bottom w:val="single" w:color="000000" w:sz="8" w:space="0"/>
              <w:right w:val="nil"/>
            </w:tcBorders>
            <w:shd w:val="clear" w:color="auto" w:fill="auto"/>
            <w:vAlign w:val="bottom"/>
          </w:tcPr>
          <w:p>
            <w:pPr>
              <w:jc w:val="center"/>
              <w:rPr>
                <w:rFonts w:hint="default" w:ascii="Times New Roman" w:hAnsi="Times New Roman" w:eastAsia="宋体" w:cs="Times New Roman"/>
                <w:b/>
                <w:bCs/>
                <w:i w:val="0"/>
                <w:iCs w:val="0"/>
                <w:color w:val="000000"/>
                <w:sz w:val="20"/>
                <w:szCs w:val="20"/>
                <w:u w:val="none"/>
              </w:rPr>
            </w:pPr>
          </w:p>
        </w:tc>
        <w:tc>
          <w:tcPr>
            <w:tcW w:w="1620" w:type="dxa"/>
            <w:tcBorders>
              <w:top w:val="nil"/>
              <w:left w:val="nil"/>
              <w:bottom w:val="single" w:color="000000" w:sz="8" w:space="0"/>
              <w:right w:val="nil"/>
            </w:tcBorders>
            <w:shd w:val="clear" w:color="auto" w:fill="auto"/>
            <w:vAlign w:val="bottom"/>
          </w:tcPr>
          <w:p>
            <w:pPr>
              <w:jc w:val="center"/>
              <w:rPr>
                <w:rFonts w:hint="default" w:ascii="Times New Roman" w:hAnsi="Times New Roman" w:eastAsia="宋体" w:cs="Times New Roman"/>
                <w:b/>
                <w:bCs/>
                <w:i w:val="0"/>
                <w:iCs w:val="0"/>
                <w:color w:val="000000"/>
                <w:sz w:val="20"/>
                <w:szCs w:val="20"/>
                <w:u w:val="none"/>
              </w:rPr>
            </w:pPr>
          </w:p>
        </w:tc>
        <w:tc>
          <w:tcPr>
            <w:tcW w:w="1707" w:type="dxa"/>
            <w:tcBorders>
              <w:top w:val="nil"/>
              <w:left w:val="nil"/>
              <w:bottom w:val="single" w:color="000000" w:sz="8" w:space="0"/>
              <w:right w:val="nil"/>
            </w:tcBorders>
            <w:shd w:val="clear" w:color="auto" w:fill="auto"/>
            <w:vAlign w:val="bottom"/>
          </w:tcPr>
          <w:p>
            <w:pPr>
              <w:jc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   目</w:t>
            </w:r>
          </w:p>
        </w:tc>
        <w:tc>
          <w:tcPr>
            <w:tcW w:w="16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合计</w:t>
            </w: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泽普县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一、返还性支出</w:t>
            </w:r>
          </w:p>
        </w:tc>
        <w:tc>
          <w:tcPr>
            <w:tcW w:w="16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所得税基数返还支出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成品油税费改革税收返还支出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增值税税收返还支出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消费税税收返还支出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增值税“</w:t>
            </w:r>
            <w:r>
              <w:rPr>
                <w:rFonts w:hint="eastAsia" w:asciiTheme="minorEastAsia" w:hAnsiTheme="minorEastAsia" w:eastAsiaTheme="minorEastAsia" w:cstheme="minorEastAsia"/>
                <w:i w:val="0"/>
                <w:iCs w:val="0"/>
                <w:color w:val="000000"/>
                <w:kern w:val="0"/>
                <w:sz w:val="20"/>
                <w:szCs w:val="20"/>
                <w:u w:val="none"/>
                <w:lang w:val="en-US" w:eastAsia="zh-CN" w:bidi="ar"/>
              </w:rPr>
              <w:t>五五分享</w:t>
            </w:r>
            <w:r>
              <w:rPr>
                <w:rFonts w:hint="default" w:asciiTheme="minorEastAsia" w:hAnsiTheme="minorEastAsia" w:eastAsiaTheme="minorEastAsia" w:cstheme="minorEastAsia"/>
                <w:i w:val="0"/>
                <w:iCs w:val="0"/>
                <w:color w:val="000000"/>
                <w:kern w:val="0"/>
                <w:sz w:val="20"/>
                <w:szCs w:val="20"/>
                <w:u w:val="none"/>
                <w:lang w:val="en-US" w:eastAsia="zh-CN" w:bidi="ar"/>
              </w:rPr>
              <w:t>”</w:t>
            </w:r>
            <w:r>
              <w:rPr>
                <w:rFonts w:hint="eastAsia" w:asciiTheme="minorEastAsia" w:hAnsiTheme="minorEastAsia" w:eastAsiaTheme="minorEastAsia" w:cstheme="minorEastAsia"/>
                <w:i w:val="0"/>
                <w:iCs w:val="0"/>
                <w:color w:val="000000"/>
                <w:kern w:val="0"/>
                <w:sz w:val="20"/>
                <w:szCs w:val="20"/>
                <w:u w:val="none"/>
                <w:lang w:val="en-US" w:eastAsia="zh-CN" w:bidi="ar"/>
              </w:rPr>
              <w:t>税收返还支出</w:t>
            </w:r>
          </w:p>
        </w:tc>
        <w:tc>
          <w:tcPr>
            <w:tcW w:w="1620" w:type="dxa"/>
            <w:tcBorders>
              <w:top w:val="nil"/>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二、一般性转移支付</w:t>
            </w:r>
          </w:p>
        </w:tc>
        <w:tc>
          <w:tcPr>
            <w:tcW w:w="162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体制补助支出</w:t>
            </w:r>
          </w:p>
        </w:tc>
        <w:tc>
          <w:tcPr>
            <w:tcW w:w="1620" w:type="dxa"/>
            <w:tcBorders>
              <w:top w:val="single" w:color="auto" w:sz="4" w:space="0"/>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均衡性转移支付支出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县级基本财力保障机制奖补资金支出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结算补助支出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资源枯竭型城市转移支付补助支出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企业事业单位划转补助支出</w:t>
            </w:r>
          </w:p>
        </w:tc>
        <w:tc>
          <w:tcPr>
            <w:tcW w:w="16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产粮（油）大县奖励资金支出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重点生态功能区转移支付支出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固定数额补助支出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革命老区转移支付支出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民族地区转移支付支出</w:t>
            </w:r>
          </w:p>
        </w:tc>
        <w:tc>
          <w:tcPr>
            <w:tcW w:w="1620" w:type="dxa"/>
            <w:tcBorders>
              <w:top w:val="nil"/>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边境地区转移支付支出</w:t>
            </w:r>
          </w:p>
        </w:tc>
        <w:tc>
          <w:tcPr>
            <w:tcW w:w="1620" w:type="dxa"/>
            <w:tcBorders>
              <w:top w:val="single" w:color="auto" w:sz="4" w:space="0"/>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巩固脱贫攻坚成果衔接乡村振兴转移支付支出</w:t>
            </w:r>
          </w:p>
        </w:tc>
        <w:tc>
          <w:tcPr>
            <w:tcW w:w="1620"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707"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一般公共服务共同财政事权转移支付支出</w:t>
            </w:r>
          </w:p>
        </w:tc>
        <w:tc>
          <w:tcPr>
            <w:tcW w:w="16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外交共同财政事权转移支付支出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国防共同财政事权转移支付支出</w:t>
            </w:r>
          </w:p>
        </w:tc>
        <w:tc>
          <w:tcPr>
            <w:tcW w:w="1620" w:type="dxa"/>
            <w:tcBorders>
              <w:top w:val="nil"/>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公共安全共同财政事权转移支付支出</w:t>
            </w:r>
          </w:p>
        </w:tc>
        <w:tc>
          <w:tcPr>
            <w:tcW w:w="1620" w:type="dxa"/>
            <w:tcBorders>
              <w:top w:val="single" w:color="auto" w:sz="4" w:space="0"/>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教育共同财政事权转移支付支出</w:t>
            </w:r>
          </w:p>
        </w:tc>
        <w:tc>
          <w:tcPr>
            <w:tcW w:w="1620" w:type="dxa"/>
            <w:tcBorders>
              <w:top w:val="single" w:color="auto" w:sz="4" w:space="0"/>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single" w:color="auto" w:sz="4" w:space="0"/>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科学技术共同财政事权转移支付支出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文化旅游体育与传媒共同财政事权转移支付支出</w:t>
            </w:r>
          </w:p>
        </w:tc>
        <w:tc>
          <w:tcPr>
            <w:tcW w:w="162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社会保障和就业共同财政事权转移支付支出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医疗卫生共同财政事权转移支付支出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节能环保共同财政事权转移支付支出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城乡社区共同财政事权转移支付支出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农林水共同财政事权转移支付支出</w:t>
            </w:r>
          </w:p>
        </w:tc>
        <w:tc>
          <w:tcPr>
            <w:tcW w:w="1620" w:type="dxa"/>
            <w:tcBorders>
              <w:top w:val="nil"/>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交通运输共同财政事权转移支付支出</w:t>
            </w:r>
          </w:p>
        </w:tc>
        <w:tc>
          <w:tcPr>
            <w:tcW w:w="162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资源勘探工业信息等共同财政事权转移支付支出</w:t>
            </w:r>
          </w:p>
        </w:tc>
        <w:tc>
          <w:tcPr>
            <w:tcW w:w="1620" w:type="dxa"/>
            <w:tcBorders>
              <w:top w:val="single" w:color="auto" w:sz="4" w:space="0"/>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商业服务业等共同财政事权转移支付支出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金融共同财政事权转移支付支出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自然资源海洋气象等共同财政事权转移支付支出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住房保障共同财政事权转移支付支出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粮油物资储备共同财政事权转移支付支出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灾害防治及应急管理共同财政事权转移支付支出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其他共同财政事权转移支付支出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其他一般性转移支付支出</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三、专项转移支付</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一般公共服务</w:t>
            </w:r>
          </w:p>
        </w:tc>
        <w:tc>
          <w:tcPr>
            <w:tcW w:w="1620" w:type="dxa"/>
            <w:tcBorders>
              <w:top w:val="nil"/>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外交</w:t>
            </w:r>
          </w:p>
        </w:tc>
        <w:tc>
          <w:tcPr>
            <w:tcW w:w="1620" w:type="dxa"/>
            <w:tcBorders>
              <w:top w:val="single" w:color="auto" w:sz="4" w:space="0"/>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国防</w:t>
            </w:r>
          </w:p>
        </w:tc>
        <w:tc>
          <w:tcPr>
            <w:tcW w:w="1620" w:type="dxa"/>
            <w:tcBorders>
              <w:top w:val="single" w:color="auto" w:sz="4" w:space="0"/>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single" w:color="auto" w:sz="4" w:space="0"/>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公共安全</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教育</w:t>
            </w:r>
          </w:p>
        </w:tc>
        <w:tc>
          <w:tcPr>
            <w:tcW w:w="1620" w:type="dxa"/>
            <w:tcBorders>
              <w:top w:val="nil"/>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科学技术</w:t>
            </w:r>
          </w:p>
        </w:tc>
        <w:tc>
          <w:tcPr>
            <w:tcW w:w="1620" w:type="dxa"/>
            <w:tcBorders>
              <w:top w:val="single" w:color="auto" w:sz="4" w:space="0"/>
              <w:left w:val="nil"/>
              <w:bottom w:val="single" w:color="auto" w:sz="4"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single" w:color="auto" w:sz="4" w:space="0"/>
              <w:left w:val="nil"/>
              <w:bottom w:val="single" w:color="auto" w:sz="4" w:space="0"/>
              <w:right w:val="single" w:color="auto" w:sz="4"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文化旅游体育与传媒</w:t>
            </w:r>
          </w:p>
        </w:tc>
        <w:tc>
          <w:tcPr>
            <w:tcW w:w="1620" w:type="dxa"/>
            <w:tcBorders>
              <w:top w:val="single" w:color="auto" w:sz="4" w:space="0"/>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single" w:color="auto" w:sz="4" w:space="0"/>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社会保障和就业</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卫生健康</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 xml:space="preserve">      节能环保</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5171"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合 计</w:t>
            </w:r>
          </w:p>
        </w:tc>
        <w:tc>
          <w:tcPr>
            <w:tcW w:w="162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1707"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498" w:type="dxa"/>
            <w:gridSpan w:val="3"/>
            <w:tcBorders>
              <w:top w:val="nil"/>
              <w:left w:val="nil"/>
              <w:bottom w:val="nil"/>
              <w:right w:val="nil"/>
            </w:tcBorders>
            <w:shd w:val="clear" w:color="auto" w:fill="auto"/>
            <w:vAlign w:val="bottom"/>
          </w:tcPr>
          <w:p>
            <w:pPr>
              <w:keepNext w:val="0"/>
              <w:keepLines w:val="0"/>
              <w:widowControl/>
              <w:suppressLineNumbers w:val="0"/>
              <w:ind w:firstLineChars="100"/>
              <w:jc w:val="left"/>
              <w:textAlignment w:val="bottom"/>
              <w:rPr>
                <w:rFonts w:hint="default" w:ascii="Times New Roman" w:hAnsi="Times New Roman" w:eastAsia="宋体" w:cs="Times New Roman"/>
                <w:b/>
                <w:bCs/>
                <w:i w:val="0"/>
                <w:iCs w:val="0"/>
                <w:color w:val="000000"/>
                <w:sz w:val="22"/>
                <w:szCs w:val="22"/>
                <w:u w:val="none"/>
              </w:rPr>
            </w:pPr>
            <w:r>
              <w:rPr>
                <w:rFonts w:hint="eastAsia" w:ascii="宋体" w:hAnsi="宋体" w:eastAsia="宋体" w:cs="宋体"/>
                <w:b/>
                <w:bCs/>
                <w:i w:val="0"/>
                <w:color w:val="000000"/>
                <w:kern w:val="0"/>
                <w:sz w:val="20"/>
                <w:szCs w:val="20"/>
                <w:u w:val="none"/>
                <w:lang w:val="en-US" w:eastAsia="zh-CN" w:bidi="ar"/>
              </w:rPr>
              <w:t>备注：202</w:t>
            </w:r>
            <w:r>
              <w:rPr>
                <w:rFonts w:hint="eastAsia" w:ascii="宋体" w:hAnsi="宋体" w:cs="宋体"/>
                <w:b/>
                <w:bCs/>
                <w:i w:val="0"/>
                <w:color w:val="000000"/>
                <w:kern w:val="0"/>
                <w:sz w:val="20"/>
                <w:szCs w:val="20"/>
                <w:u w:val="none"/>
                <w:lang w:val="en-US" w:eastAsia="zh-CN" w:bidi="ar"/>
              </w:rPr>
              <w:t>6</w:t>
            </w:r>
            <w:r>
              <w:rPr>
                <w:rFonts w:hint="eastAsia" w:ascii="宋体" w:hAnsi="宋体" w:eastAsia="宋体" w:cs="宋体"/>
                <w:b/>
                <w:bCs/>
                <w:i w:val="0"/>
                <w:color w:val="000000"/>
                <w:kern w:val="0"/>
                <w:sz w:val="20"/>
                <w:szCs w:val="20"/>
                <w:u w:val="none"/>
                <w:lang w:val="en-US" w:eastAsia="zh-CN" w:bidi="ar"/>
              </w:rPr>
              <w:t>年泽普县无一般公共预算对下转移支付安排</w:t>
            </w:r>
          </w:p>
        </w:tc>
      </w:tr>
    </w:tbl>
    <w:p>
      <w:pPr>
        <w:rPr>
          <w:rFonts w:hint="default" w:ascii="Times New Roman" w:hAnsi="Times New Roman" w:eastAsia="楷体_GB2312" w:cs="Times New Roman"/>
          <w:b/>
          <w:bCs w:val="0"/>
          <w:kern w:val="0"/>
          <w:sz w:val="32"/>
          <w:szCs w:val="32"/>
          <w:highlight w:val="none"/>
          <w:lang w:val="en-US" w:eastAsia="zh-Hans"/>
        </w:rPr>
      </w:pPr>
    </w:p>
    <w:p>
      <w:pPr>
        <w:rPr>
          <w:rFonts w:hint="default"/>
          <w:lang w:val="en-US" w:eastAsia="zh-Hans"/>
        </w:rPr>
      </w:pPr>
    </w:p>
    <w:p>
      <w:pPr>
        <w:numPr>
          <w:ilvl w:val="0"/>
          <w:numId w:val="1"/>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CN"/>
        </w:rPr>
      </w:pPr>
      <w:r>
        <w:rPr>
          <w:rFonts w:hint="default" w:ascii="Times New Roman" w:hAnsi="Times New Roman" w:eastAsia="楷体_GB2312" w:cs="Times New Roman"/>
          <w:b/>
          <w:bCs w:val="0"/>
          <w:kern w:val="0"/>
          <w:sz w:val="32"/>
          <w:szCs w:val="32"/>
          <w:highlight w:val="none"/>
          <w:lang w:val="en-US" w:eastAsia="zh-Hans"/>
        </w:rPr>
        <w:t>政府性基金预算</w:t>
      </w:r>
      <w:r>
        <w:rPr>
          <w:rFonts w:hint="default" w:ascii="Times New Roman" w:hAnsi="Times New Roman" w:eastAsia="楷体_GB2312" w:cs="Times New Roman"/>
          <w:b/>
          <w:bCs w:val="0"/>
          <w:kern w:val="0"/>
          <w:sz w:val="32"/>
          <w:szCs w:val="32"/>
          <w:highlight w:val="none"/>
          <w:lang w:val="en-US" w:eastAsia="zh-CN"/>
        </w:rPr>
        <w:t>公开表</w:t>
      </w:r>
    </w:p>
    <w:p>
      <w:pPr>
        <w:pStyle w:val="2"/>
        <w:numPr>
          <w:ilvl w:val="0"/>
          <w:numId w:val="0"/>
        </w:numPr>
        <w:rPr>
          <w:rFonts w:hint="default"/>
          <w:lang w:val="en-US" w:eastAsia="zh-Hans"/>
        </w:rPr>
      </w:pPr>
    </w:p>
    <w:tbl>
      <w:tblPr>
        <w:tblStyle w:val="8"/>
        <w:tblW w:w="103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5"/>
        <w:gridCol w:w="4200"/>
        <w:gridCol w:w="1755"/>
        <w:gridCol w:w="1800"/>
        <w:gridCol w:w="1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103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eastAsia="宋体" w:cs="Times New Roman"/>
                <w:i w:val="0"/>
                <w:color w:val="000000"/>
                <w:kern w:val="0"/>
                <w:sz w:val="20"/>
                <w:szCs w:val="20"/>
                <w:highlight w:val="none"/>
                <w:u w:val="none"/>
                <w:lang w:val="en-US" w:eastAsia="zh-CN" w:bidi="ar"/>
              </w:rPr>
              <w:t>9</w:t>
            </w:r>
          </w:p>
        </w:tc>
        <w:tc>
          <w:tcPr>
            <w:tcW w:w="4200"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b/>
                <w:bCs/>
                <w:i w:val="0"/>
                <w:iCs w:val="0"/>
                <w:color w:val="000000"/>
                <w:sz w:val="40"/>
                <w:szCs w:val="40"/>
                <w:u w:val="none"/>
              </w:rPr>
            </w:pPr>
          </w:p>
        </w:tc>
        <w:tc>
          <w:tcPr>
            <w:tcW w:w="1755"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b/>
                <w:bCs/>
                <w:i w:val="0"/>
                <w:iCs w:val="0"/>
                <w:color w:val="000000"/>
                <w:sz w:val="40"/>
                <w:szCs w:val="40"/>
                <w:u w:val="none"/>
              </w:rPr>
            </w:pPr>
          </w:p>
        </w:tc>
        <w:tc>
          <w:tcPr>
            <w:tcW w:w="1800"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b/>
                <w:bCs/>
                <w:i w:val="0"/>
                <w:iCs w:val="0"/>
                <w:color w:val="000000"/>
                <w:sz w:val="40"/>
                <w:szCs w:val="40"/>
                <w:u w:val="none"/>
              </w:rPr>
            </w:pPr>
          </w:p>
        </w:tc>
        <w:tc>
          <w:tcPr>
            <w:tcW w:w="1605"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b/>
                <w:bCs/>
                <w:i w:val="0"/>
                <w:iCs w:val="0"/>
                <w:color w:val="000000"/>
                <w:sz w:val="40"/>
                <w:szCs w:val="4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0" w:type="auto"/>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Times New Roman" w:hAnsi="Times New Roman" w:eastAsia="宋体" w:cs="Times New Roman"/>
                <w:b/>
                <w:i w:val="0"/>
                <w:color w:val="000000"/>
                <w:kern w:val="0"/>
                <w:sz w:val="20"/>
                <w:szCs w:val="20"/>
                <w:highlight w:val="none"/>
                <w:u w:val="none"/>
                <w:lang w:val="en-US" w:eastAsia="zh-CN" w:bidi="ar"/>
              </w:rPr>
              <w:t>2026年泽普县政府性基金收入表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jc w:val="center"/>
        </w:trPr>
        <w:tc>
          <w:tcPr>
            <w:tcW w:w="0" w:type="auto"/>
            <w:tcBorders>
              <w:top w:val="nil"/>
              <w:left w:val="nil"/>
              <w:bottom w:val="nil"/>
              <w:right w:val="nil"/>
            </w:tcBorders>
            <w:shd w:val="clear" w:color="auto" w:fill="auto"/>
            <w:noWrap/>
            <w:vAlign w:val="center"/>
          </w:tcPr>
          <w:p>
            <w:pPr>
              <w:jc w:val="center"/>
              <w:rPr>
                <w:rFonts w:hint="default" w:ascii="Times New Roman" w:hAnsi="Times New Roman" w:eastAsia="宋体" w:cs="Times New Roman"/>
                <w:i w:val="0"/>
                <w:iCs w:val="0"/>
                <w:color w:val="000000"/>
                <w:sz w:val="36"/>
                <w:szCs w:val="36"/>
                <w:u w:val="none"/>
              </w:rPr>
            </w:pPr>
          </w:p>
        </w:tc>
        <w:tc>
          <w:tcPr>
            <w:tcW w:w="0" w:type="auto"/>
            <w:tcBorders>
              <w:top w:val="nil"/>
              <w:left w:val="nil"/>
              <w:bottom w:val="nil"/>
              <w:right w:val="nil"/>
            </w:tcBorders>
            <w:shd w:val="clear" w:color="auto" w:fill="auto"/>
            <w:noWrap/>
            <w:vAlign w:val="center"/>
          </w:tcPr>
          <w:p>
            <w:pPr>
              <w:jc w:val="center"/>
              <w:rPr>
                <w:rFonts w:hint="default" w:ascii="Times New Roman" w:hAnsi="Times New Roman" w:eastAsia="宋体" w:cs="Times New Roman"/>
                <w:i w:val="0"/>
                <w:iCs w:val="0"/>
                <w:color w:val="000000"/>
                <w:sz w:val="36"/>
                <w:szCs w:val="36"/>
                <w:u w:val="none"/>
              </w:rPr>
            </w:pPr>
          </w:p>
        </w:tc>
        <w:tc>
          <w:tcPr>
            <w:tcW w:w="0" w:type="auto"/>
            <w:tcBorders>
              <w:top w:val="nil"/>
              <w:left w:val="nil"/>
              <w:bottom w:val="nil"/>
              <w:right w:val="nil"/>
            </w:tcBorders>
            <w:shd w:val="clear" w:color="auto" w:fill="auto"/>
            <w:noWrap/>
            <w:vAlign w:val="center"/>
          </w:tcPr>
          <w:p>
            <w:pPr>
              <w:jc w:val="center"/>
              <w:rPr>
                <w:rFonts w:hint="default" w:ascii="Times New Roman" w:hAnsi="Times New Roman" w:eastAsia="宋体" w:cs="Times New Roman"/>
                <w:i w:val="0"/>
                <w:iCs w:val="0"/>
                <w:color w:val="000000"/>
                <w:sz w:val="36"/>
                <w:szCs w:val="36"/>
                <w:u w:val="none"/>
              </w:rPr>
            </w:pPr>
          </w:p>
        </w:tc>
        <w:tc>
          <w:tcPr>
            <w:tcW w:w="0" w:type="auto"/>
            <w:tcBorders>
              <w:top w:val="nil"/>
              <w:left w:val="nil"/>
              <w:bottom w:val="nil"/>
              <w:right w:val="nil"/>
            </w:tcBorders>
            <w:shd w:val="clear" w:color="auto" w:fill="auto"/>
            <w:noWrap/>
            <w:vAlign w:val="center"/>
          </w:tcPr>
          <w:p>
            <w:pPr>
              <w:jc w:val="center"/>
              <w:rPr>
                <w:rFonts w:hint="default" w:ascii="Times New Roman" w:hAnsi="Times New Roman" w:eastAsia="宋体" w:cs="Times New Roman"/>
                <w:i w:val="0"/>
                <w:iCs w:val="0"/>
                <w:color w:val="000000"/>
                <w:sz w:val="36"/>
                <w:szCs w:val="36"/>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 xml:space="preserve">项    </w:t>
            </w:r>
            <w:r>
              <w:rPr>
                <w:rFonts w:hint="eastAsia" w:ascii="Times New Roman" w:hAnsi="Times New Roman" w:eastAsia="宋体" w:cs="Times New Roman"/>
                <w:b/>
                <w:bCs/>
                <w:i w:val="0"/>
                <w:color w:val="000000"/>
                <w:kern w:val="0"/>
                <w:sz w:val="20"/>
                <w:szCs w:val="20"/>
                <w:highlight w:val="none"/>
                <w:u w:val="none"/>
                <w:lang w:val="en-US" w:eastAsia="zh-CN" w:bidi="ar"/>
              </w:rPr>
              <w:t>目</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color w:val="000000"/>
                <w:kern w:val="0"/>
                <w:sz w:val="20"/>
                <w:szCs w:val="20"/>
                <w:highlight w:val="none"/>
                <w:u w:val="none"/>
                <w:lang w:val="en-US" w:eastAsia="zh-Hans" w:bidi="ar"/>
              </w:rPr>
            </w:pPr>
            <w:r>
              <w:rPr>
                <w:rFonts w:hint="default" w:ascii="Times New Roman" w:hAnsi="Times New Roman" w:eastAsia="宋体" w:cs="Times New Roman"/>
                <w:b/>
                <w:bCs/>
                <w:i w:val="0"/>
                <w:color w:val="000000"/>
                <w:kern w:val="0"/>
                <w:sz w:val="20"/>
                <w:szCs w:val="20"/>
                <w:highlight w:val="none"/>
                <w:u w:val="none"/>
                <w:lang w:val="en-US" w:eastAsia="zh-CN" w:bidi="ar"/>
              </w:rPr>
              <w:t>2025</w:t>
            </w:r>
            <w:r>
              <w:rPr>
                <w:rFonts w:hint="eastAsia" w:ascii="Times New Roman" w:hAnsi="Times New Roman" w:eastAsia="宋体" w:cs="Times New Roman"/>
                <w:b/>
                <w:bCs/>
                <w:i w:val="0"/>
                <w:color w:val="000000"/>
                <w:kern w:val="0"/>
                <w:sz w:val="20"/>
                <w:szCs w:val="20"/>
                <w:highlight w:val="none"/>
                <w:u w:val="none"/>
                <w:lang w:val="en-US" w:eastAsia="zh-CN" w:bidi="ar"/>
              </w:rPr>
              <w:t>年完成数</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color w:val="000000"/>
                <w:kern w:val="0"/>
                <w:sz w:val="20"/>
                <w:szCs w:val="20"/>
                <w:highlight w:val="none"/>
                <w:u w:val="none"/>
                <w:lang w:val="en-US" w:eastAsia="zh-Hans" w:bidi="ar"/>
              </w:rPr>
            </w:pPr>
            <w:r>
              <w:rPr>
                <w:rFonts w:hint="default" w:ascii="Times New Roman" w:hAnsi="Times New Roman" w:eastAsia="宋体" w:cs="Times New Roman"/>
                <w:b/>
                <w:bCs/>
                <w:i w:val="0"/>
                <w:color w:val="000000"/>
                <w:kern w:val="0"/>
                <w:sz w:val="20"/>
                <w:szCs w:val="20"/>
                <w:highlight w:val="none"/>
                <w:u w:val="none"/>
                <w:lang w:val="en-US" w:eastAsia="zh-CN" w:bidi="ar"/>
              </w:rPr>
              <w:t>2026</w:t>
            </w:r>
            <w:r>
              <w:rPr>
                <w:rFonts w:hint="eastAsia" w:ascii="Times New Roman" w:hAnsi="Times New Roman" w:eastAsia="宋体" w:cs="Times New Roman"/>
                <w:b/>
                <w:bCs/>
                <w:i w:val="0"/>
                <w:color w:val="000000"/>
                <w:kern w:val="0"/>
                <w:sz w:val="20"/>
                <w:szCs w:val="20"/>
                <w:highlight w:val="none"/>
                <w:u w:val="none"/>
                <w:lang w:val="en-US" w:eastAsia="zh-CN" w:bidi="ar"/>
              </w:rPr>
              <w:t>年预算数</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color w:val="000000"/>
                <w:kern w:val="0"/>
                <w:sz w:val="20"/>
                <w:szCs w:val="20"/>
                <w:highlight w:val="none"/>
                <w:u w:val="none"/>
                <w:lang w:val="en-US" w:eastAsia="zh-Hans"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预算数为上年完成数的%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一、国家电影事业发展专项资金收入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二、国有土地收益基金收入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三、农业土地开发资金收入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四、国有土地使用权出让收入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829.45%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五、城市基础设施配套费收入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六、污水处理费收入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六、专项债务对应项目专项收入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1100406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七、社会保障和就业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1100499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八、其他收入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九、政府性基金转移支付收入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1100802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十、政府性基金预算上年结余收入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21432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16638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十一、调入政府性基金预算资金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十二、地方政府债务专项债务转贷收入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13684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8"/>
                <w:szCs w:val="28"/>
                <w:u w:val="none"/>
              </w:rPr>
            </w:pPr>
            <w:r>
              <w:rPr>
                <w:rFonts w:hint="default" w:asciiTheme="minorEastAsia" w:hAnsiTheme="minorEastAsia" w:eastAsiaTheme="minorEastAsia" w:cstheme="minorEastAsia"/>
                <w:b/>
                <w:bCs/>
                <w:i w:val="0"/>
                <w:iCs w:val="0"/>
                <w:color w:val="000000"/>
                <w:kern w:val="0"/>
                <w:sz w:val="20"/>
                <w:szCs w:val="20"/>
                <w:u w:val="none"/>
                <w:lang w:val="en-US" w:eastAsia="zh-CN" w:bidi="ar"/>
              </w:rPr>
              <w:t>政府性基金收入合计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46253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34685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-25.01%</w:t>
            </w:r>
          </w:p>
        </w:tc>
      </w:tr>
    </w:tbl>
    <w:tbl>
      <w:tblPr>
        <w:tblStyle w:val="8"/>
        <w:tblpPr w:leftFromText="180" w:rightFromText="180" w:vertAnchor="text" w:horzAnchor="page" w:tblpXSpec="center" w:tblpY="282"/>
        <w:tblOverlap w:val="never"/>
        <w:tblW w:w="105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31"/>
        <w:gridCol w:w="4529"/>
        <w:gridCol w:w="1695"/>
        <w:gridCol w:w="1590"/>
        <w:gridCol w:w="15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23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表</w:t>
            </w:r>
            <w:r>
              <w:rPr>
                <w:rFonts w:hint="default" w:ascii="Times New Roman" w:hAnsi="Times New Roman" w:eastAsia="宋体" w:cs="Times New Roman"/>
                <w:i w:val="0"/>
                <w:iCs w:val="0"/>
                <w:color w:val="000000"/>
                <w:kern w:val="0"/>
                <w:sz w:val="22"/>
                <w:szCs w:val="22"/>
                <w:u w:val="none"/>
                <w:lang w:val="en-US" w:eastAsia="zh-CN" w:bidi="ar"/>
              </w:rPr>
              <w:t>10</w:t>
            </w:r>
          </w:p>
        </w:tc>
        <w:tc>
          <w:tcPr>
            <w:tcW w:w="452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695"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i w:val="0"/>
                <w:iCs w:val="0"/>
                <w:color w:val="000000"/>
                <w:sz w:val="22"/>
                <w:szCs w:val="22"/>
                <w:u w:val="none"/>
              </w:rPr>
            </w:pPr>
          </w:p>
        </w:tc>
        <w:tc>
          <w:tcPr>
            <w:tcW w:w="1590"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i w:val="0"/>
                <w:iCs w:val="0"/>
                <w:color w:val="000000"/>
                <w:sz w:val="22"/>
                <w:szCs w:val="22"/>
                <w:u w:val="none"/>
              </w:rPr>
            </w:pPr>
          </w:p>
        </w:tc>
        <w:tc>
          <w:tcPr>
            <w:tcW w:w="1530"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575" w:type="dxa"/>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36"/>
                <w:szCs w:val="36"/>
                <w:u w:val="none"/>
              </w:rPr>
            </w:pPr>
            <w:r>
              <w:rPr>
                <w:rFonts w:hint="default" w:ascii="Times New Roman" w:hAnsi="Times New Roman" w:eastAsia="宋体" w:cs="Times New Roman"/>
                <w:b/>
                <w:i w:val="0"/>
                <w:color w:val="000000"/>
                <w:kern w:val="0"/>
                <w:sz w:val="20"/>
                <w:szCs w:val="20"/>
                <w:highlight w:val="none"/>
                <w:u w:val="none"/>
                <w:lang w:val="en-US" w:eastAsia="zh-CN" w:bidi="ar"/>
              </w:rPr>
              <w:t>2026</w:t>
            </w:r>
            <w:r>
              <w:rPr>
                <w:rFonts w:hint="eastAsia" w:ascii="Times New Roman" w:hAnsi="Times New Roman" w:eastAsia="宋体" w:cs="Times New Roman"/>
                <w:b/>
                <w:i w:val="0"/>
                <w:color w:val="000000"/>
                <w:kern w:val="0"/>
                <w:sz w:val="20"/>
                <w:szCs w:val="20"/>
                <w:highlight w:val="none"/>
                <w:u w:val="none"/>
                <w:lang w:val="en-US" w:eastAsia="zh-CN" w:bidi="ar"/>
              </w:rPr>
              <w:t>年泽普县政府性基金支出表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1231" w:type="dxa"/>
            <w:tcBorders>
              <w:top w:val="nil"/>
              <w:left w:val="nil"/>
              <w:bottom w:val="nil"/>
              <w:right w:val="nil"/>
            </w:tcBorders>
            <w:shd w:val="clear" w:color="auto" w:fill="auto"/>
            <w:noWrap/>
            <w:vAlign w:val="center"/>
          </w:tcPr>
          <w:p>
            <w:pPr>
              <w:jc w:val="center"/>
              <w:rPr>
                <w:rFonts w:hint="default" w:ascii="Times New Roman" w:hAnsi="Times New Roman" w:eastAsia="宋体" w:cs="Times New Roman"/>
                <w:i w:val="0"/>
                <w:iCs w:val="0"/>
                <w:color w:val="000000"/>
                <w:sz w:val="36"/>
                <w:szCs w:val="36"/>
                <w:u w:val="none"/>
              </w:rPr>
            </w:pPr>
          </w:p>
        </w:tc>
        <w:tc>
          <w:tcPr>
            <w:tcW w:w="4529" w:type="dxa"/>
            <w:tcBorders>
              <w:top w:val="nil"/>
              <w:left w:val="nil"/>
              <w:bottom w:val="nil"/>
              <w:right w:val="nil"/>
            </w:tcBorders>
            <w:shd w:val="clear" w:color="auto" w:fill="auto"/>
            <w:vAlign w:val="center"/>
          </w:tcPr>
          <w:p>
            <w:pPr>
              <w:jc w:val="center"/>
              <w:rPr>
                <w:rFonts w:hint="default" w:ascii="Times New Roman" w:hAnsi="Times New Roman" w:eastAsia="宋体" w:cs="Times New Roman"/>
                <w:i w:val="0"/>
                <w:iCs w:val="0"/>
                <w:color w:val="000000"/>
                <w:sz w:val="36"/>
                <w:szCs w:val="36"/>
                <w:u w:val="none"/>
              </w:rPr>
            </w:pPr>
          </w:p>
        </w:tc>
        <w:tc>
          <w:tcPr>
            <w:tcW w:w="1695" w:type="dxa"/>
            <w:tcBorders>
              <w:top w:val="nil"/>
              <w:left w:val="nil"/>
              <w:bottom w:val="nil"/>
              <w:right w:val="nil"/>
            </w:tcBorders>
            <w:shd w:val="clear" w:color="auto" w:fill="auto"/>
            <w:noWrap/>
            <w:vAlign w:val="center"/>
          </w:tcPr>
          <w:p>
            <w:pPr>
              <w:jc w:val="center"/>
              <w:rPr>
                <w:rFonts w:hint="default" w:ascii="Times New Roman" w:hAnsi="Times New Roman" w:eastAsia="宋体" w:cs="Times New Roman"/>
                <w:i w:val="0"/>
                <w:iCs w:val="0"/>
                <w:color w:val="000000"/>
                <w:sz w:val="36"/>
                <w:szCs w:val="36"/>
                <w:u w:val="none"/>
              </w:rPr>
            </w:pPr>
          </w:p>
        </w:tc>
        <w:tc>
          <w:tcPr>
            <w:tcW w:w="1590"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1530" w:type="dxa"/>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Times New Roman" w:hAnsi="Times New Roman" w:eastAsia="宋体" w:cs="Times New Roman"/>
                <w:i w:val="0"/>
                <w:color w:val="000000"/>
                <w:kern w:val="0"/>
                <w:sz w:val="20"/>
                <w:szCs w:val="20"/>
                <w:highlight w:val="none"/>
                <w:u w:val="none"/>
                <w:lang w:val="en-US" w:eastAsia="zh-CN" w:bidi="ar"/>
              </w:rPr>
            </w:pPr>
            <w:r>
              <w:rPr>
                <w:rFonts w:hint="eastAsia"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宋体" w:cs="Times New Roman"/>
                <w:b/>
                <w:bCs/>
                <w:i w:val="0"/>
                <w:color w:val="000000"/>
                <w:kern w:val="0"/>
                <w:sz w:val="20"/>
                <w:szCs w:val="20"/>
                <w:highlight w:val="none"/>
                <w:u w:val="none"/>
                <w:lang w:val="en-US" w:eastAsia="zh-CN" w:bidi="ar"/>
              </w:rPr>
            </w:pPr>
            <w:r>
              <w:rPr>
                <w:rFonts w:hint="eastAsia" w:ascii="Times New Roman" w:hAnsi="Times New Roman" w:eastAsia="宋体" w:cs="Times New Roman"/>
                <w:b/>
                <w:bCs/>
                <w:i w:val="0"/>
                <w:color w:val="000000"/>
                <w:kern w:val="0"/>
                <w:sz w:val="20"/>
                <w:szCs w:val="20"/>
                <w:highlight w:val="none"/>
                <w:u w:val="none"/>
                <w:lang w:val="en-US" w:eastAsia="zh-CN" w:bidi="ar"/>
              </w:rPr>
              <w:t>科目编码</w:t>
            </w:r>
          </w:p>
        </w:tc>
        <w:tc>
          <w:tcPr>
            <w:tcW w:w="45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2025</w:t>
            </w:r>
            <w:r>
              <w:rPr>
                <w:rFonts w:hint="eastAsia" w:ascii="Times New Roman" w:hAnsi="Times New Roman" w:eastAsia="宋体" w:cs="Times New Roman"/>
                <w:b/>
                <w:bCs/>
                <w:i w:val="0"/>
                <w:color w:val="000000"/>
                <w:kern w:val="0"/>
                <w:sz w:val="20"/>
                <w:szCs w:val="20"/>
                <w:highlight w:val="none"/>
                <w:u w:val="none"/>
                <w:lang w:val="en-US" w:eastAsia="zh-CN" w:bidi="ar"/>
              </w:rPr>
              <w:t>年完成数</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2026</w:t>
            </w:r>
            <w:r>
              <w:rPr>
                <w:rFonts w:hint="eastAsia" w:ascii="Times New Roman" w:hAnsi="Times New Roman" w:eastAsia="宋体" w:cs="Times New Roman"/>
                <w:b/>
                <w:bCs/>
                <w:i w:val="0"/>
                <w:color w:val="000000"/>
                <w:kern w:val="0"/>
                <w:sz w:val="20"/>
                <w:szCs w:val="20"/>
                <w:highlight w:val="none"/>
                <w:u w:val="none"/>
                <w:lang w:val="en-US" w:eastAsia="zh-CN" w:bidi="ar"/>
              </w:rPr>
              <w:t>年预算数</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宋体" w:cs="Times New Roman"/>
                <w:b/>
                <w:bCs/>
                <w:i w:val="0"/>
                <w:color w:val="000000"/>
                <w:kern w:val="0"/>
                <w:sz w:val="20"/>
                <w:szCs w:val="20"/>
                <w:highlight w:val="none"/>
                <w:u w:val="none"/>
                <w:lang w:val="en-US" w:eastAsia="zh-CN" w:bidi="ar"/>
              </w:rPr>
            </w:pPr>
            <w:r>
              <w:rPr>
                <w:rFonts w:hint="eastAsia" w:ascii="Times New Roman" w:hAnsi="Times New Roman" w:eastAsia="宋体" w:cs="Times New Roman"/>
                <w:b/>
                <w:bCs/>
                <w:i w:val="0"/>
                <w:color w:val="000000"/>
                <w:kern w:val="0"/>
                <w:sz w:val="20"/>
                <w:szCs w:val="20"/>
                <w:highlight w:val="none"/>
                <w:u w:val="none"/>
                <w:lang w:val="en-US" w:eastAsia="zh-CN" w:bidi="ar"/>
              </w:rPr>
              <w:t>预算数为上年完成数的</w:t>
            </w:r>
            <w:r>
              <w:rPr>
                <w:rFonts w:hint="default" w:ascii="Times New Roman" w:hAnsi="Times New Roman" w:eastAsia="宋体" w:cs="Times New Roman"/>
                <w:b/>
                <w:bCs/>
                <w:i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一、城乡社区支出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国有土地使用权出让收入安排的支出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2120801</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征地和拆迁补偿支出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2120806</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土地出让业务支出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2120814</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农业生产发展支出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二、农林水支出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671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412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21372</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大中型水库移民后期扶持基金支出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671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412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2137201</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移民补助</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232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231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2137202</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基础设施建设和经济发展</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439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181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三、资源勘探工业信息等支出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414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21598</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超长期特别国债安排的支出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414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2159802</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制造业</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414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四、自然资源海洋气象等支出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142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22006</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耕地保护考核奖惩基金支出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142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2200601</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耕地保护</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142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五、其他支出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21359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16683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22904</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其他政府性基金及对应专项债务收入安排的支出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20809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16197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2290402</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其他地方自行试点项目收益专项债券收入安排的支出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9225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16197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2290403</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其他政府性基金债务收入安排的支出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11584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彩票公益金安排的支出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550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486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2296002</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用于社会福利的彩票公益金支出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390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2296003</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用于体育事业的彩票公益金支出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2296004</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用于教育事业的彩票公益金支出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2296006</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用于残疾人事业的彩票公益金支出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2296010</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用于文化事业的彩票公益金支出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2296013</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用于城乡医疗救助的彩票公益金支出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89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117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2300802</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六、政府性基金预算调出资金</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205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9380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4475.61%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23009</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七、年终结余</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16638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八、债务付息支出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6818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8068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地方政府专项债务付息支出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6818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8068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2320411</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国有土地使用权出让金债务付息支出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392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155.10%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2320433</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棚户区改造专项债券付息支出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448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448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2320498</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其他地方自行试点项目收益专项债券付息支出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5773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6620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2320499</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其他政府性基金债务付息支出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205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九、债务发行费用支出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地方政府专项债务发行费用支出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2330498</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其他地方自行试点项目收益专项债券发行费用支出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2330499</w:t>
            </w:r>
          </w:p>
        </w:tc>
        <w:tc>
          <w:tcPr>
            <w:tcW w:w="45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其他政府性基金债务发行费用支出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1231"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jc w:val="left"/>
              <w:rPr>
                <w:rFonts w:hint="default" w:ascii="Times New Roman" w:hAnsi="Times New Roman" w:eastAsia="宋体" w:cs="Times New Roman"/>
                <w:i w:val="0"/>
                <w:iCs w:val="0"/>
                <w:color w:val="000000"/>
                <w:sz w:val="22"/>
                <w:szCs w:val="22"/>
                <w:u w:val="none"/>
              </w:rPr>
            </w:pPr>
          </w:p>
        </w:tc>
        <w:tc>
          <w:tcPr>
            <w:tcW w:w="4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default" w:asciiTheme="minorEastAsia" w:hAnsiTheme="minorEastAsia" w:eastAsiaTheme="minorEastAsia" w:cstheme="minorEastAsia"/>
                <w:b/>
                <w:bCs/>
                <w:i w:val="0"/>
                <w:iCs w:val="0"/>
                <w:color w:val="000000"/>
                <w:kern w:val="0"/>
                <w:sz w:val="20"/>
                <w:szCs w:val="20"/>
                <w:u w:val="none"/>
                <w:lang w:val="en-US" w:eastAsia="zh-CN" w:bidi="ar"/>
              </w:rPr>
              <w:t>政府性基金支出合计</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46253 </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34658 </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-25.07%</w:t>
            </w:r>
          </w:p>
        </w:tc>
      </w:tr>
    </w:tbl>
    <w:p>
      <w:pPr>
        <w:pStyle w:val="2"/>
        <w:ind w:left="0" w:leftChars="0" w:firstLine="0" w:firstLineChars="0"/>
        <w:rPr>
          <w:rFonts w:hint="default"/>
        </w:rPr>
      </w:pPr>
    </w:p>
    <w:tbl>
      <w:tblPr>
        <w:tblStyle w:val="8"/>
        <w:tblW w:w="12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4296"/>
        <w:gridCol w:w="1755"/>
        <w:gridCol w:w="1800"/>
        <w:gridCol w:w="1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jc w:val="center"/>
        </w:trPr>
        <w:tc>
          <w:tcPr>
            <w:tcW w:w="103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表</w:t>
            </w:r>
            <w:r>
              <w:rPr>
                <w:rFonts w:hint="default" w:ascii="宋体" w:hAnsi="宋体" w:eastAsia="宋体" w:cs="宋体"/>
                <w:i w:val="0"/>
                <w:iCs w:val="0"/>
                <w:color w:val="000000"/>
                <w:kern w:val="0"/>
                <w:sz w:val="20"/>
                <w:szCs w:val="20"/>
                <w:u w:val="none"/>
                <w:lang w:val="en-US" w:eastAsia="zh-CN" w:bidi="ar"/>
              </w:rPr>
              <w:t>11</w:t>
            </w:r>
          </w:p>
        </w:tc>
        <w:tc>
          <w:tcPr>
            <w:tcW w:w="4296"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b/>
                <w:bCs/>
                <w:i w:val="0"/>
                <w:iCs w:val="0"/>
                <w:color w:val="000000"/>
                <w:sz w:val="40"/>
                <w:szCs w:val="40"/>
                <w:u w:val="none"/>
              </w:rPr>
            </w:pPr>
          </w:p>
        </w:tc>
        <w:tc>
          <w:tcPr>
            <w:tcW w:w="1755"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b/>
                <w:bCs/>
                <w:i w:val="0"/>
                <w:iCs w:val="0"/>
                <w:color w:val="000000"/>
                <w:sz w:val="40"/>
                <w:szCs w:val="40"/>
                <w:u w:val="none"/>
              </w:rPr>
            </w:pPr>
          </w:p>
        </w:tc>
        <w:tc>
          <w:tcPr>
            <w:tcW w:w="1800"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b/>
                <w:bCs/>
                <w:i w:val="0"/>
                <w:iCs w:val="0"/>
                <w:color w:val="000000"/>
                <w:sz w:val="40"/>
                <w:szCs w:val="40"/>
                <w:u w:val="none"/>
              </w:rPr>
            </w:pPr>
          </w:p>
        </w:tc>
        <w:tc>
          <w:tcPr>
            <w:tcW w:w="1605"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b/>
                <w:bCs/>
                <w:i w:val="0"/>
                <w:iCs w:val="0"/>
                <w:color w:val="000000"/>
                <w:sz w:val="40"/>
                <w:szCs w:val="4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0491" w:type="dxa"/>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default" w:ascii="Times New Roman" w:hAnsi="Times New Roman" w:eastAsia="宋体" w:cs="Times New Roman"/>
                <w:b/>
                <w:i w:val="0"/>
                <w:color w:val="000000"/>
                <w:kern w:val="0"/>
                <w:sz w:val="20"/>
                <w:szCs w:val="20"/>
                <w:highlight w:val="none"/>
                <w:u w:val="none"/>
                <w:lang w:val="en-US" w:eastAsia="zh-CN" w:bidi="ar"/>
              </w:rPr>
              <w:t>2026年泽普县本级政府性基金收入表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35" w:type="dxa"/>
            <w:tcBorders>
              <w:top w:val="nil"/>
              <w:left w:val="nil"/>
              <w:bottom w:val="nil"/>
              <w:right w:val="nil"/>
            </w:tcBorders>
            <w:shd w:val="clear" w:color="auto" w:fill="auto"/>
            <w:noWrap/>
            <w:vAlign w:val="center"/>
          </w:tcPr>
          <w:p>
            <w:pPr>
              <w:jc w:val="center"/>
              <w:rPr>
                <w:rFonts w:hint="default" w:ascii="Times New Roman" w:hAnsi="Times New Roman" w:eastAsia="宋体" w:cs="Times New Roman"/>
                <w:i w:val="0"/>
                <w:iCs w:val="0"/>
                <w:color w:val="000000"/>
                <w:sz w:val="36"/>
                <w:szCs w:val="36"/>
                <w:u w:val="none"/>
              </w:rPr>
            </w:pPr>
          </w:p>
        </w:tc>
        <w:tc>
          <w:tcPr>
            <w:tcW w:w="4296" w:type="dxa"/>
            <w:tcBorders>
              <w:top w:val="nil"/>
              <w:left w:val="nil"/>
              <w:bottom w:val="nil"/>
              <w:right w:val="nil"/>
            </w:tcBorders>
            <w:shd w:val="clear" w:color="auto" w:fill="auto"/>
            <w:noWrap/>
            <w:vAlign w:val="center"/>
          </w:tcPr>
          <w:p>
            <w:pPr>
              <w:jc w:val="center"/>
              <w:rPr>
                <w:rFonts w:hint="default" w:ascii="Times New Roman" w:hAnsi="Times New Roman" w:eastAsia="宋体" w:cs="Times New Roman"/>
                <w:i w:val="0"/>
                <w:iCs w:val="0"/>
                <w:color w:val="000000"/>
                <w:sz w:val="36"/>
                <w:szCs w:val="36"/>
                <w:u w:val="none"/>
              </w:rPr>
            </w:pPr>
          </w:p>
        </w:tc>
        <w:tc>
          <w:tcPr>
            <w:tcW w:w="1755" w:type="dxa"/>
            <w:tcBorders>
              <w:top w:val="nil"/>
              <w:left w:val="nil"/>
              <w:bottom w:val="nil"/>
              <w:right w:val="nil"/>
            </w:tcBorders>
            <w:shd w:val="clear" w:color="auto" w:fill="auto"/>
            <w:noWrap/>
            <w:vAlign w:val="center"/>
          </w:tcPr>
          <w:p>
            <w:pPr>
              <w:jc w:val="center"/>
              <w:rPr>
                <w:rFonts w:hint="default" w:ascii="Times New Roman" w:hAnsi="Times New Roman" w:eastAsia="宋体" w:cs="Times New Roman"/>
                <w:i w:val="0"/>
                <w:iCs w:val="0"/>
                <w:color w:val="000000"/>
                <w:sz w:val="36"/>
                <w:szCs w:val="36"/>
                <w:u w:val="none"/>
              </w:rPr>
            </w:pPr>
          </w:p>
        </w:tc>
        <w:tc>
          <w:tcPr>
            <w:tcW w:w="1800" w:type="dxa"/>
            <w:tcBorders>
              <w:top w:val="nil"/>
              <w:left w:val="nil"/>
              <w:bottom w:val="nil"/>
              <w:right w:val="nil"/>
            </w:tcBorders>
            <w:shd w:val="clear" w:color="auto" w:fill="auto"/>
            <w:noWrap/>
            <w:vAlign w:val="center"/>
          </w:tcPr>
          <w:p>
            <w:pPr>
              <w:jc w:val="center"/>
              <w:rPr>
                <w:rFonts w:hint="default" w:ascii="Times New Roman" w:hAnsi="Times New Roman" w:eastAsia="宋体" w:cs="Times New Roman"/>
                <w:i w:val="0"/>
                <w:iCs w:val="0"/>
                <w:color w:val="000000"/>
                <w:sz w:val="36"/>
                <w:szCs w:val="36"/>
                <w:u w:val="none"/>
              </w:rPr>
            </w:pPr>
          </w:p>
        </w:tc>
        <w:tc>
          <w:tcPr>
            <w:tcW w:w="1605"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2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 xml:space="preserve">项    </w:t>
            </w:r>
            <w:r>
              <w:rPr>
                <w:rFonts w:hint="eastAsia" w:ascii="Times New Roman" w:hAnsi="Times New Roman" w:eastAsia="宋体" w:cs="Times New Roman"/>
                <w:b/>
                <w:bCs/>
                <w:i w:val="0"/>
                <w:color w:val="000000"/>
                <w:kern w:val="0"/>
                <w:sz w:val="20"/>
                <w:szCs w:val="20"/>
                <w:highlight w:val="none"/>
                <w:u w:val="none"/>
                <w:lang w:val="en-US" w:eastAsia="zh-CN" w:bidi="ar"/>
              </w:rPr>
              <w:t>目</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2025</w:t>
            </w:r>
            <w:r>
              <w:rPr>
                <w:rFonts w:hint="eastAsia" w:ascii="Times New Roman" w:hAnsi="Times New Roman" w:eastAsia="宋体" w:cs="Times New Roman"/>
                <w:b/>
                <w:bCs/>
                <w:i w:val="0"/>
                <w:color w:val="000000"/>
                <w:kern w:val="0"/>
                <w:sz w:val="20"/>
                <w:szCs w:val="20"/>
                <w:highlight w:val="none"/>
                <w:u w:val="none"/>
                <w:lang w:val="en-US" w:eastAsia="zh-CN" w:bidi="ar"/>
              </w:rPr>
              <w:t>年完成数</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2026</w:t>
            </w:r>
            <w:r>
              <w:rPr>
                <w:rFonts w:hint="eastAsia" w:ascii="Times New Roman" w:hAnsi="Times New Roman" w:eastAsia="宋体" w:cs="Times New Roman"/>
                <w:b/>
                <w:bCs/>
                <w:i w:val="0"/>
                <w:color w:val="000000"/>
                <w:kern w:val="0"/>
                <w:sz w:val="20"/>
                <w:szCs w:val="20"/>
                <w:highlight w:val="none"/>
                <w:u w:val="none"/>
                <w:lang w:val="en-US" w:eastAsia="zh-CN" w:bidi="ar"/>
              </w:rPr>
              <w:t>年预算数</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预算数为上年完成数的%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1030129</w:t>
            </w:r>
          </w:p>
        </w:tc>
        <w:tc>
          <w:tcPr>
            <w:tcW w:w="4296"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一、国家电影事业发展专项资金收入</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1030146</w:t>
            </w:r>
          </w:p>
        </w:tc>
        <w:tc>
          <w:tcPr>
            <w:tcW w:w="4296"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二、国有土地收益基金收入</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1030147</w:t>
            </w:r>
          </w:p>
        </w:tc>
        <w:tc>
          <w:tcPr>
            <w:tcW w:w="4296"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三、农业土地开发资金收入</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1030148</w:t>
            </w:r>
          </w:p>
        </w:tc>
        <w:tc>
          <w:tcPr>
            <w:tcW w:w="4296"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四、国有土地使用权出让收入</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1151 </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10698 </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829.45%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1030156</w:t>
            </w:r>
          </w:p>
        </w:tc>
        <w:tc>
          <w:tcPr>
            <w:tcW w:w="4296"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五、城市基础设施配套费收入</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 </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1030178</w:t>
            </w:r>
          </w:p>
        </w:tc>
        <w:tc>
          <w:tcPr>
            <w:tcW w:w="4296"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六、污水处理费收入</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1031099</w:t>
            </w:r>
          </w:p>
        </w:tc>
        <w:tc>
          <w:tcPr>
            <w:tcW w:w="4296"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六、专项债务对应项目专项收入</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3224 </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6500 </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101.61%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1100406</w:t>
            </w:r>
          </w:p>
        </w:tc>
        <w:tc>
          <w:tcPr>
            <w:tcW w:w="4296"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七、社会保障和就业</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1100499</w:t>
            </w:r>
          </w:p>
        </w:tc>
        <w:tc>
          <w:tcPr>
            <w:tcW w:w="4296"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八、其他收入</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11004</w:t>
            </w:r>
          </w:p>
        </w:tc>
        <w:tc>
          <w:tcPr>
            <w:tcW w:w="4296"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default" w:asciiTheme="minorEastAsia" w:hAnsiTheme="minorEastAsia" w:eastAsiaTheme="minorEastAsia" w:cstheme="minorEastAsia"/>
                <w:i w:val="0"/>
                <w:iCs w:val="0"/>
                <w:color w:val="000000"/>
                <w:kern w:val="0"/>
                <w:sz w:val="20"/>
                <w:szCs w:val="20"/>
                <w:u w:val="none"/>
                <w:lang w:val="en-US" w:eastAsia="zh-CN" w:bidi="ar"/>
              </w:rPr>
              <w:t>九、政府性基金转移支付收入</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1841 </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599 </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1100802</w:t>
            </w:r>
          </w:p>
        </w:tc>
        <w:tc>
          <w:tcPr>
            <w:tcW w:w="4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十、政府性基金预算上年结余收入</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21432 </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16638 </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11009</w:t>
            </w:r>
          </w:p>
        </w:tc>
        <w:tc>
          <w:tcPr>
            <w:tcW w:w="4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十一、调入政府性基金预算资金</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4921 </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11011</w:t>
            </w:r>
          </w:p>
        </w:tc>
        <w:tc>
          <w:tcPr>
            <w:tcW w:w="4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十二、地方政府债务专项债务转贷收入</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13684 </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533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8"/>
                <w:szCs w:val="28"/>
                <w:u w:val="none"/>
              </w:rPr>
            </w:pPr>
            <w:r>
              <w:rPr>
                <w:rFonts w:hint="default" w:asciiTheme="minorEastAsia" w:hAnsiTheme="minorEastAsia" w:eastAsiaTheme="minorEastAsia" w:cstheme="minorEastAsia"/>
                <w:b/>
                <w:bCs/>
                <w:i w:val="0"/>
                <w:iCs w:val="0"/>
                <w:color w:val="000000"/>
                <w:kern w:val="0"/>
                <w:sz w:val="20"/>
                <w:szCs w:val="20"/>
                <w:u w:val="none"/>
                <w:lang w:val="en-US" w:eastAsia="zh-CN" w:bidi="ar"/>
              </w:rPr>
              <w:t>政府性基金收入合计</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46253 </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34685 </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-25.01%</w:t>
            </w:r>
          </w:p>
        </w:tc>
      </w:tr>
    </w:tbl>
    <w:p>
      <w:pPr>
        <w:rPr>
          <w:rFonts w:hint="default"/>
          <w:lang w:val="en-US" w:eastAsia="zh-Hans"/>
        </w:rPr>
      </w:pPr>
    </w:p>
    <w:p>
      <w:pPr>
        <w:pStyle w:val="2"/>
        <w:rPr>
          <w:rFonts w:hint="default"/>
          <w:lang w:val="en-US" w:eastAsia="zh-Hans"/>
        </w:rPr>
      </w:pPr>
    </w:p>
    <w:tbl>
      <w:tblPr>
        <w:tblStyle w:val="8"/>
        <w:tblW w:w="1038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25"/>
        <w:gridCol w:w="4351"/>
        <w:gridCol w:w="1650"/>
        <w:gridCol w:w="1649"/>
        <w:gridCol w:w="16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12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表12</w:t>
            </w:r>
          </w:p>
        </w:tc>
        <w:tc>
          <w:tcPr>
            <w:tcW w:w="4351" w:type="dxa"/>
            <w:tcBorders>
              <w:top w:val="nil"/>
              <w:left w:val="nil"/>
              <w:bottom w:val="nil"/>
              <w:right w:val="nil"/>
            </w:tcBorders>
            <w:shd w:val="clear" w:color="auto" w:fill="auto"/>
            <w:vAlign w:val="center"/>
          </w:tcPr>
          <w:p>
            <w:pPr>
              <w:jc w:val="left"/>
              <w:rPr>
                <w:rFonts w:hint="default" w:ascii="Times New Roman" w:hAnsi="Times New Roman" w:eastAsia="宋体" w:cs="Times New Roman"/>
                <w:i w:val="0"/>
                <w:iCs w:val="0"/>
                <w:color w:val="000000"/>
                <w:sz w:val="22"/>
                <w:szCs w:val="22"/>
                <w:u w:val="none"/>
              </w:rPr>
            </w:pPr>
          </w:p>
        </w:tc>
        <w:tc>
          <w:tcPr>
            <w:tcW w:w="1650"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i w:val="0"/>
                <w:iCs w:val="0"/>
                <w:color w:val="000000"/>
                <w:sz w:val="22"/>
                <w:szCs w:val="22"/>
                <w:u w:val="none"/>
              </w:rPr>
            </w:pPr>
          </w:p>
        </w:tc>
        <w:tc>
          <w:tcPr>
            <w:tcW w:w="1649"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i w:val="0"/>
                <w:iCs w:val="0"/>
                <w:color w:val="000000"/>
                <w:sz w:val="22"/>
                <w:szCs w:val="22"/>
                <w:u w:val="none"/>
              </w:rPr>
            </w:pPr>
          </w:p>
        </w:tc>
        <w:tc>
          <w:tcPr>
            <w:tcW w:w="1606" w:type="dxa"/>
            <w:tcBorders>
              <w:top w:val="nil"/>
              <w:left w:val="nil"/>
              <w:bottom w:val="nil"/>
              <w:right w:val="nil"/>
            </w:tcBorders>
            <w:shd w:val="clear" w:color="auto" w:fill="auto"/>
            <w:noWrap/>
            <w:vAlign w:val="center"/>
          </w:tcPr>
          <w:p>
            <w:pPr>
              <w:jc w:val="left"/>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381" w:type="dxa"/>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36"/>
                <w:szCs w:val="36"/>
                <w:u w:val="none"/>
              </w:rPr>
            </w:pPr>
            <w:r>
              <w:rPr>
                <w:rFonts w:hint="default" w:ascii="Times New Roman" w:hAnsi="Times New Roman" w:eastAsia="宋体" w:cs="Times New Roman"/>
                <w:b/>
                <w:i w:val="0"/>
                <w:color w:val="000000"/>
                <w:kern w:val="0"/>
                <w:sz w:val="20"/>
                <w:szCs w:val="20"/>
                <w:highlight w:val="none"/>
                <w:u w:val="none"/>
                <w:lang w:val="en-US" w:eastAsia="zh-CN" w:bidi="ar"/>
              </w:rPr>
              <w:t>2026</w:t>
            </w:r>
            <w:r>
              <w:rPr>
                <w:rFonts w:hint="eastAsia" w:ascii="Times New Roman" w:hAnsi="Times New Roman" w:eastAsia="宋体" w:cs="Times New Roman"/>
                <w:b/>
                <w:i w:val="0"/>
                <w:color w:val="000000"/>
                <w:kern w:val="0"/>
                <w:sz w:val="20"/>
                <w:szCs w:val="20"/>
                <w:highlight w:val="none"/>
                <w:u w:val="none"/>
                <w:lang w:val="en-US" w:eastAsia="zh-CN" w:bidi="ar"/>
              </w:rPr>
              <w:t>年泽普县本级政府性基金支出表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jc w:val="center"/>
        </w:trPr>
        <w:tc>
          <w:tcPr>
            <w:tcW w:w="1125" w:type="dxa"/>
            <w:tcBorders>
              <w:top w:val="nil"/>
              <w:left w:val="nil"/>
              <w:bottom w:val="nil"/>
              <w:right w:val="nil"/>
            </w:tcBorders>
            <w:shd w:val="clear" w:color="auto" w:fill="auto"/>
            <w:noWrap/>
            <w:vAlign w:val="center"/>
          </w:tcPr>
          <w:p>
            <w:pPr>
              <w:jc w:val="center"/>
              <w:rPr>
                <w:rFonts w:hint="default" w:ascii="Times New Roman" w:hAnsi="Times New Roman" w:eastAsia="宋体" w:cs="Times New Roman"/>
                <w:i w:val="0"/>
                <w:iCs w:val="0"/>
                <w:color w:val="000000"/>
                <w:sz w:val="36"/>
                <w:szCs w:val="36"/>
                <w:u w:val="none"/>
              </w:rPr>
            </w:pPr>
          </w:p>
        </w:tc>
        <w:tc>
          <w:tcPr>
            <w:tcW w:w="4351" w:type="dxa"/>
            <w:tcBorders>
              <w:top w:val="nil"/>
              <w:left w:val="nil"/>
              <w:bottom w:val="nil"/>
              <w:right w:val="nil"/>
            </w:tcBorders>
            <w:shd w:val="clear" w:color="auto" w:fill="auto"/>
            <w:vAlign w:val="center"/>
          </w:tcPr>
          <w:p>
            <w:pPr>
              <w:jc w:val="center"/>
              <w:rPr>
                <w:rFonts w:hint="default" w:ascii="Times New Roman" w:hAnsi="Times New Roman" w:eastAsia="宋体" w:cs="Times New Roman"/>
                <w:i w:val="0"/>
                <w:iCs w:val="0"/>
                <w:color w:val="000000"/>
                <w:sz w:val="36"/>
                <w:szCs w:val="36"/>
                <w:u w:val="none"/>
              </w:rPr>
            </w:pPr>
          </w:p>
        </w:tc>
        <w:tc>
          <w:tcPr>
            <w:tcW w:w="1650" w:type="dxa"/>
            <w:tcBorders>
              <w:top w:val="nil"/>
              <w:left w:val="nil"/>
              <w:bottom w:val="nil"/>
              <w:right w:val="nil"/>
            </w:tcBorders>
            <w:shd w:val="clear" w:color="auto" w:fill="auto"/>
            <w:noWrap/>
            <w:vAlign w:val="center"/>
          </w:tcPr>
          <w:p>
            <w:pPr>
              <w:jc w:val="center"/>
              <w:rPr>
                <w:rFonts w:hint="default" w:ascii="Times New Roman" w:hAnsi="Times New Roman" w:eastAsia="宋体" w:cs="Times New Roman"/>
                <w:i w:val="0"/>
                <w:iCs w:val="0"/>
                <w:color w:val="000000"/>
                <w:sz w:val="36"/>
                <w:szCs w:val="36"/>
                <w:u w:val="none"/>
              </w:rPr>
            </w:pPr>
          </w:p>
        </w:tc>
        <w:tc>
          <w:tcPr>
            <w:tcW w:w="1649" w:type="dxa"/>
            <w:tcBorders>
              <w:top w:val="nil"/>
              <w:left w:val="nil"/>
              <w:bottom w:val="nil"/>
              <w:right w:val="nil"/>
            </w:tcBorders>
            <w:shd w:val="clear" w:color="auto" w:fill="auto"/>
            <w:noWrap/>
            <w:vAlign w:val="center"/>
          </w:tcPr>
          <w:p>
            <w:pPr>
              <w:jc w:val="center"/>
              <w:rPr>
                <w:rFonts w:hint="default" w:ascii="Times New Roman" w:hAnsi="Times New Roman" w:eastAsia="宋体" w:cs="Times New Roman"/>
                <w:i w:val="0"/>
                <w:iCs w:val="0"/>
                <w:color w:val="000000"/>
                <w:sz w:val="36"/>
                <w:szCs w:val="36"/>
                <w:u w:val="none"/>
              </w:rPr>
            </w:pPr>
          </w:p>
        </w:tc>
        <w:tc>
          <w:tcPr>
            <w:tcW w:w="1606" w:type="dxa"/>
            <w:tcBorders>
              <w:top w:val="nil"/>
              <w:left w:val="nil"/>
              <w:bottom w:val="nil"/>
              <w:right w:val="nil"/>
            </w:tcBorders>
            <w:shd w:val="clear" w:color="auto" w:fill="auto"/>
            <w:vAlign w:val="center"/>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科目编码</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w:t>
            </w:r>
            <w:r>
              <w:rPr>
                <w:rFonts w:hint="default" w:ascii="Times New Roman" w:hAnsi="Times New Roman" w:eastAsia="宋体" w:cs="Times New Roman"/>
                <w:b/>
                <w:bCs/>
                <w:i w:val="0"/>
                <w:iCs w:val="0"/>
                <w:color w:val="000000"/>
                <w:kern w:val="0"/>
                <w:sz w:val="22"/>
                <w:szCs w:val="22"/>
                <w:u w:val="none"/>
                <w:lang w:val="en-US" w:eastAsia="zh-CN" w:bidi="ar"/>
              </w:rPr>
              <w:t xml:space="preserve">    </w:t>
            </w:r>
            <w:r>
              <w:rPr>
                <w:rFonts w:hint="eastAsia" w:ascii="宋体" w:hAnsi="宋体" w:eastAsia="宋体" w:cs="宋体"/>
                <w:b/>
                <w:bCs/>
                <w:i w:val="0"/>
                <w:iCs w:val="0"/>
                <w:color w:val="000000"/>
                <w:kern w:val="0"/>
                <w:sz w:val="22"/>
                <w:szCs w:val="22"/>
                <w:u w:val="none"/>
                <w:lang w:val="en-US" w:eastAsia="zh-CN" w:bidi="ar"/>
              </w:rPr>
              <w:t>目</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2025</w:t>
            </w:r>
            <w:r>
              <w:rPr>
                <w:rFonts w:hint="eastAsia" w:ascii="宋体" w:hAnsi="宋体" w:eastAsia="宋体" w:cs="宋体"/>
                <w:b/>
                <w:bCs/>
                <w:i w:val="0"/>
                <w:iCs w:val="0"/>
                <w:color w:val="000000"/>
                <w:kern w:val="0"/>
                <w:sz w:val="22"/>
                <w:szCs w:val="22"/>
                <w:u w:val="none"/>
                <w:lang w:val="en-US" w:eastAsia="zh-CN" w:bidi="ar"/>
              </w:rPr>
              <w:t>年完成数</w:t>
            </w:r>
          </w:p>
        </w:tc>
        <w:tc>
          <w:tcPr>
            <w:tcW w:w="16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2026</w:t>
            </w:r>
            <w:r>
              <w:rPr>
                <w:rFonts w:hint="eastAsia" w:ascii="宋体" w:hAnsi="宋体" w:eastAsia="宋体" w:cs="宋体"/>
                <w:b/>
                <w:bCs/>
                <w:i w:val="0"/>
                <w:iCs w:val="0"/>
                <w:color w:val="000000"/>
                <w:kern w:val="0"/>
                <w:sz w:val="22"/>
                <w:szCs w:val="22"/>
                <w:u w:val="none"/>
                <w:lang w:val="en-US" w:eastAsia="zh-CN" w:bidi="ar"/>
              </w:rPr>
              <w:t>年预算数</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预算数为上年完成数的</w:t>
            </w:r>
            <w:r>
              <w:rPr>
                <w:rFonts w:hint="default" w:ascii="Times New Roman" w:hAnsi="Times New Roman" w:eastAsia="宋体" w:cs="Times New Roman"/>
                <w:b/>
                <w:bCs/>
                <w:i w:val="0"/>
                <w:iCs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一、城乡社区支出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国有土地使用权出让收入安排的支出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2120801</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征地和拆迁补偿支出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2120806</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土地出让业务支出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2120814</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农业生产发展支出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二、农林水支出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671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412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21372</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大中型水库移民后期扶持基金支出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671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412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2137201</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移民补助</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232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231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2137202</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基础设施建设和经济发展</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439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181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-58.77%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三、资源勘探工业信息等支出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414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21598</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超长期特别国债安排的支出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414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2159802</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制造业</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414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四、自然资源海洋气象等支出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142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22006</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耕地保护考核奖惩基金支出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142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2200601</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耕地保护</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142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407.14%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五、其他支出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21359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16683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22904</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其他政府性基金及对应专项债务收入安排的支出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20809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16197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2290402</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其他地方自行试点项目收益专项债券收入安排的支出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9225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16197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2290403</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其他政府性基金债务收入安排的支出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11584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彩票公益金安排的支出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550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486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2296002</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用于社会福利的彩票公益金支出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390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-35.90%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2296003</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用于体育事业的彩票公益金支出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28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34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2296004</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用于教育事业的彩票公益金支出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-62.50%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2296006</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用于残疾人事业的彩票公益金支出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2296010</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用于文化事业的彩票公益金支出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2296013</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用于城乡医疗救助的彩票公益金支出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89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117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2300802</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六、政府性基金预算调出资金</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205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9380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4475.61%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23009</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七、年终结余</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16638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八、债务付息支出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6818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8068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地方政府专项债务付息支出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6818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8068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18.33%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2320411</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国有土地使用权出让金债务付息支出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392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155.10%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2320433</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棚户区改造专项债券付息支出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448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448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2320498</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其他地方自行试点项目收益专项债券付息支出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5773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6620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2320499</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其他政府性基金债务付息支出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205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九、债务发行费用支出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地方政府专项债务发行费用支出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14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2330498</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其他地方自行试点项目收益专项债券发行费用支出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2330499</w:t>
            </w: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其他政府性基金债务发行费用支出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top"/>
          </w:tcPr>
          <w:p>
            <w:pPr>
              <w:jc w:val="center"/>
              <w:rPr>
                <w:rFonts w:hint="default" w:ascii="Times New Roman" w:hAnsi="Times New Roman" w:eastAsia="宋体" w:cs="Times New Roman"/>
                <w:b/>
                <w:bCs/>
                <w:i w:val="0"/>
                <w:iCs w:val="0"/>
                <w:color w:val="000000"/>
                <w:sz w:val="22"/>
                <w:szCs w:val="22"/>
                <w:u w:val="none"/>
              </w:rPr>
            </w:pPr>
          </w:p>
        </w:tc>
        <w:tc>
          <w:tcPr>
            <w:tcW w:w="4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政府性基金支出合计</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46253 </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34658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-25.07%</w:t>
            </w:r>
          </w:p>
        </w:tc>
      </w:tr>
    </w:tbl>
    <w:p>
      <w:pPr>
        <w:rPr>
          <w:rFonts w:hint="default"/>
          <w:lang w:val="en-US" w:eastAsia="zh-Hans"/>
        </w:rPr>
      </w:pPr>
    </w:p>
    <w:p>
      <w:pPr>
        <w:rPr>
          <w:rFonts w:hint="eastAsia"/>
          <w:lang w:val="en-US" w:eastAsia="zh-CN"/>
        </w:rPr>
      </w:pPr>
    </w:p>
    <w:p>
      <w:pPr>
        <w:pStyle w:val="2"/>
        <w:rPr>
          <w:rFonts w:hint="eastAsia"/>
          <w:lang w:val="en-US" w:eastAsia="zh-CN"/>
        </w:rPr>
      </w:pPr>
    </w:p>
    <w:p>
      <w:pPr>
        <w:rPr>
          <w:rFonts w:hint="eastAsia"/>
          <w:lang w:val="en-US" w:eastAsia="zh-CN"/>
        </w:rPr>
      </w:pPr>
    </w:p>
    <w:p>
      <w:pPr>
        <w:pStyle w:val="7"/>
        <w:rPr>
          <w:rFonts w:hint="eastAsia"/>
          <w:lang w:val="en-US" w:eastAsia="zh-CN"/>
        </w:rPr>
      </w:pPr>
    </w:p>
    <w:p>
      <w:pPr>
        <w:pStyle w:val="7"/>
        <w:rPr>
          <w:rFonts w:hint="eastAsia"/>
          <w:lang w:val="en-US" w:eastAsia="zh-CN"/>
        </w:rPr>
      </w:pPr>
    </w:p>
    <w:p>
      <w:pPr>
        <w:rPr>
          <w:rFonts w:hint="eastAsia"/>
          <w:lang w:val="en-US" w:eastAsia="zh-CN"/>
        </w:rPr>
      </w:pPr>
    </w:p>
    <w:tbl>
      <w:tblPr>
        <w:tblStyle w:val="8"/>
        <w:tblW w:w="78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805"/>
        <w:gridCol w:w="2490"/>
        <w:gridCol w:w="25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280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表13</w:t>
            </w:r>
          </w:p>
        </w:tc>
        <w:tc>
          <w:tcPr>
            <w:tcW w:w="2490"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2565"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7860" w:type="dxa"/>
            <w:gridSpan w:val="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w:t>
            </w:r>
            <w:r>
              <w:rPr>
                <w:rFonts w:hint="eastAsia" w:ascii="宋体" w:hAnsi="宋体" w:eastAsia="宋体" w:cs="宋体"/>
                <w:b/>
                <w:bCs/>
                <w:i w:val="0"/>
                <w:color w:val="000000"/>
                <w:kern w:val="0"/>
                <w:sz w:val="20"/>
                <w:szCs w:val="20"/>
                <w:u w:val="none"/>
                <w:lang w:val="en-US" w:eastAsia="zh-CN" w:bidi="ar"/>
              </w:rPr>
              <w:t>喀什地区</w:t>
            </w:r>
            <w:r>
              <w:rPr>
                <w:rFonts w:hint="default" w:ascii="Times New Roman" w:hAnsi="Times New Roman" w:eastAsia="宋体" w:cs="Times New Roman"/>
                <w:b/>
                <w:bCs/>
                <w:i w:val="0"/>
                <w:iCs w:val="0"/>
                <w:color w:val="000000"/>
                <w:kern w:val="0"/>
                <w:sz w:val="20"/>
                <w:szCs w:val="20"/>
                <w:u w:val="none"/>
                <w:lang w:val="en-US" w:eastAsia="zh-CN" w:bidi="ar"/>
              </w:rPr>
              <w:t>泽普县政府性基金预算对下转移支付安排情况表（分地区、项目）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805"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249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2565" w:type="dxa"/>
            <w:tcBorders>
              <w:top w:val="nil"/>
              <w:left w:val="nil"/>
              <w:bottom w:val="nil"/>
              <w:right w:val="nil"/>
            </w:tcBorders>
            <w:shd w:val="clear" w:color="auto" w:fill="auto"/>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8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项目名称</w:t>
            </w:r>
          </w:p>
        </w:tc>
        <w:tc>
          <w:tcPr>
            <w:tcW w:w="24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合计</w:t>
            </w:r>
          </w:p>
        </w:tc>
        <w:tc>
          <w:tcPr>
            <w:tcW w:w="256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泽普县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280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政府性基金转移支付</w:t>
            </w:r>
          </w:p>
        </w:tc>
        <w:tc>
          <w:tcPr>
            <w:tcW w:w="249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c>
          <w:tcPr>
            <w:tcW w:w="2565"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p>
        </w:tc>
      </w:tr>
    </w:tbl>
    <w:p>
      <w:pPr>
        <w:pStyle w:val="7"/>
        <w:ind w:firstLine="602" w:firstLineChars="300"/>
        <w:rPr>
          <w:rFonts w:hint="eastAsia" w:ascii="宋体" w:hAnsi="宋体" w:eastAsia="宋体" w:cs="宋体"/>
          <w:b/>
          <w:bCs/>
          <w:i w:val="0"/>
          <w:color w:val="000000"/>
          <w:kern w:val="0"/>
          <w:sz w:val="20"/>
          <w:szCs w:val="20"/>
          <w:u w:val="none"/>
          <w:lang w:val="en-US" w:eastAsia="zh-Hans" w:bidi="ar"/>
        </w:rPr>
      </w:pPr>
      <w:r>
        <w:rPr>
          <w:rFonts w:hint="eastAsia" w:ascii="宋体" w:hAnsi="宋体" w:eastAsia="宋体" w:cs="宋体"/>
          <w:b/>
          <w:bCs/>
          <w:i w:val="0"/>
          <w:color w:val="000000"/>
          <w:kern w:val="0"/>
          <w:sz w:val="20"/>
          <w:szCs w:val="20"/>
          <w:u w:val="none"/>
          <w:lang w:val="en-US" w:eastAsia="zh-CN" w:bidi="ar"/>
        </w:rPr>
        <w:t>备注：2025</w:t>
      </w:r>
      <w:r>
        <w:rPr>
          <w:rFonts w:hint="eastAsia" w:ascii="宋体" w:hAnsi="宋体" w:eastAsia="宋体" w:cs="宋体"/>
          <w:b/>
          <w:bCs/>
          <w:i w:val="0"/>
          <w:color w:val="000000"/>
          <w:kern w:val="0"/>
          <w:sz w:val="20"/>
          <w:szCs w:val="20"/>
          <w:u w:val="none"/>
          <w:lang w:val="en-US" w:eastAsia="zh-Hans" w:bidi="ar"/>
        </w:rPr>
        <w:t>年</w:t>
      </w:r>
      <w:r>
        <w:rPr>
          <w:rFonts w:hint="eastAsia" w:ascii="宋体" w:hAnsi="宋体" w:eastAsia="宋体" w:cs="宋体"/>
          <w:b/>
          <w:bCs/>
          <w:i w:val="0"/>
          <w:color w:val="000000"/>
          <w:kern w:val="0"/>
          <w:sz w:val="20"/>
          <w:szCs w:val="20"/>
          <w:u w:val="none"/>
          <w:lang w:val="en-US" w:eastAsia="zh-CN" w:bidi="ar"/>
        </w:rPr>
        <w:t>喀什地区泽普县无政府性基金预算</w:t>
      </w:r>
      <w:r>
        <w:rPr>
          <w:rFonts w:hint="eastAsia" w:ascii="宋体" w:hAnsi="宋体" w:eastAsia="宋体" w:cs="宋体"/>
          <w:b/>
          <w:bCs/>
          <w:i w:val="0"/>
          <w:color w:val="000000"/>
          <w:kern w:val="0"/>
          <w:sz w:val="20"/>
          <w:szCs w:val="20"/>
          <w:u w:val="none"/>
          <w:lang w:val="en-US" w:eastAsia="zh-Hans" w:bidi="ar"/>
        </w:rPr>
        <w:t>对下转移支付安排</w:t>
      </w:r>
    </w:p>
    <w:p>
      <w:pPr>
        <w:jc w:val="both"/>
        <w:rPr>
          <w:rFonts w:hint="default" w:ascii="Times New Roman" w:hAnsi="Times New Roman" w:cs="Times New Roman"/>
          <w:b w:val="0"/>
          <w:bCs w:val="0"/>
          <w:highlight w:val="none"/>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ind w:left="0" w:leftChars="0" w:firstLine="0" w:firstLineChars="0"/>
        <w:rPr>
          <w:rFonts w:hint="default"/>
          <w:lang w:val="en-US" w:eastAsia="zh-Hans"/>
        </w:rPr>
      </w:pPr>
    </w:p>
    <w:p>
      <w:pPr>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numPr>
          <w:ilvl w:val="0"/>
          <w:numId w:val="0"/>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CN"/>
        </w:rPr>
        <w:t>三、</w:t>
      </w:r>
      <w:r>
        <w:rPr>
          <w:rFonts w:hint="default" w:ascii="Times New Roman" w:hAnsi="Times New Roman" w:eastAsia="楷体_GB2312" w:cs="Times New Roman"/>
          <w:b/>
          <w:bCs w:val="0"/>
          <w:kern w:val="0"/>
          <w:sz w:val="32"/>
          <w:szCs w:val="32"/>
          <w:highlight w:val="none"/>
          <w:lang w:val="en-US" w:eastAsia="zh-Hans"/>
        </w:rPr>
        <w:t>国有资本经营预算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tbl>
      <w:tblPr>
        <w:tblStyle w:val="8"/>
        <w:tblpPr w:leftFromText="180" w:rightFromText="180" w:vertAnchor="text" w:horzAnchor="page" w:tblpXSpec="center" w:tblpY="556"/>
        <w:tblOverlap w:val="never"/>
        <w:tblW w:w="10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98"/>
        <w:gridCol w:w="450"/>
        <w:gridCol w:w="502"/>
        <w:gridCol w:w="660"/>
        <w:gridCol w:w="495"/>
        <w:gridCol w:w="675"/>
        <w:gridCol w:w="901"/>
        <w:gridCol w:w="1327"/>
        <w:gridCol w:w="457"/>
        <w:gridCol w:w="534"/>
        <w:gridCol w:w="519"/>
        <w:gridCol w:w="582"/>
        <w:gridCol w:w="615"/>
        <w:gridCol w:w="177"/>
        <w:gridCol w:w="9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298" w:type="dxa"/>
            <w:noWrap w:val="0"/>
            <w:vAlign w:val="bottom"/>
          </w:tcPr>
          <w:p>
            <w:pPr>
              <w:keepNext w:val="0"/>
              <w:keepLines w:val="0"/>
              <w:widowControl/>
              <w:suppressLineNumbers w:val="0"/>
              <w:jc w:val="left"/>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14</w:t>
            </w:r>
          </w:p>
        </w:tc>
        <w:tc>
          <w:tcPr>
            <w:tcW w:w="450" w:type="dxa"/>
            <w:noWrap w:val="0"/>
            <w:vAlign w:val="bottom"/>
          </w:tcPr>
          <w:p>
            <w:pPr>
              <w:rPr>
                <w:rFonts w:hint="default" w:ascii="Times New Roman" w:hAnsi="Times New Roman" w:cs="Times New Roman"/>
                <w:i w:val="0"/>
                <w:color w:val="000000"/>
                <w:sz w:val="20"/>
                <w:szCs w:val="20"/>
                <w:highlight w:val="none"/>
                <w:u w:val="none"/>
              </w:rPr>
            </w:pPr>
          </w:p>
        </w:tc>
        <w:tc>
          <w:tcPr>
            <w:tcW w:w="502" w:type="dxa"/>
            <w:noWrap w:val="0"/>
            <w:vAlign w:val="bottom"/>
          </w:tcPr>
          <w:p>
            <w:pPr>
              <w:rPr>
                <w:rFonts w:hint="default" w:ascii="Times New Roman" w:hAnsi="Times New Roman" w:cs="Times New Roman"/>
                <w:i w:val="0"/>
                <w:color w:val="000000"/>
                <w:sz w:val="20"/>
                <w:szCs w:val="20"/>
                <w:highlight w:val="none"/>
                <w:u w:val="none"/>
              </w:rPr>
            </w:pPr>
          </w:p>
        </w:tc>
        <w:tc>
          <w:tcPr>
            <w:tcW w:w="660" w:type="dxa"/>
            <w:noWrap w:val="0"/>
            <w:vAlign w:val="bottom"/>
          </w:tcPr>
          <w:p>
            <w:pPr>
              <w:rPr>
                <w:rFonts w:hint="default" w:ascii="Times New Roman" w:hAnsi="Times New Roman" w:cs="Times New Roman"/>
                <w:i w:val="0"/>
                <w:color w:val="000000"/>
                <w:sz w:val="20"/>
                <w:szCs w:val="20"/>
                <w:highlight w:val="none"/>
                <w:u w:val="none"/>
              </w:rPr>
            </w:pPr>
          </w:p>
        </w:tc>
        <w:tc>
          <w:tcPr>
            <w:tcW w:w="495" w:type="dxa"/>
            <w:noWrap w:val="0"/>
            <w:vAlign w:val="bottom"/>
          </w:tcPr>
          <w:p>
            <w:pPr>
              <w:rPr>
                <w:rFonts w:hint="default" w:ascii="Times New Roman" w:hAnsi="Times New Roman" w:cs="Times New Roman"/>
                <w:i w:val="0"/>
                <w:color w:val="000000"/>
                <w:sz w:val="20"/>
                <w:szCs w:val="20"/>
                <w:highlight w:val="none"/>
                <w:u w:val="none"/>
              </w:rPr>
            </w:pPr>
          </w:p>
        </w:tc>
        <w:tc>
          <w:tcPr>
            <w:tcW w:w="675" w:type="dxa"/>
            <w:noWrap w:val="0"/>
            <w:vAlign w:val="bottom"/>
          </w:tcPr>
          <w:p>
            <w:pPr>
              <w:rPr>
                <w:rFonts w:hint="default" w:ascii="Times New Roman" w:hAnsi="Times New Roman" w:cs="Times New Roman"/>
                <w:i w:val="0"/>
                <w:color w:val="000000"/>
                <w:sz w:val="20"/>
                <w:szCs w:val="20"/>
                <w:highlight w:val="none"/>
                <w:u w:val="none"/>
              </w:rPr>
            </w:pPr>
          </w:p>
        </w:tc>
        <w:tc>
          <w:tcPr>
            <w:tcW w:w="901" w:type="dxa"/>
            <w:noWrap w:val="0"/>
            <w:vAlign w:val="bottom"/>
          </w:tcPr>
          <w:p>
            <w:pPr>
              <w:rPr>
                <w:rFonts w:hint="default" w:ascii="Times New Roman" w:hAnsi="Times New Roman" w:cs="Times New Roman"/>
                <w:i w:val="0"/>
                <w:color w:val="000000"/>
                <w:sz w:val="20"/>
                <w:szCs w:val="20"/>
                <w:highlight w:val="none"/>
                <w:u w:val="none"/>
              </w:rPr>
            </w:pPr>
          </w:p>
        </w:tc>
        <w:tc>
          <w:tcPr>
            <w:tcW w:w="1327" w:type="dxa"/>
            <w:noWrap w:val="0"/>
            <w:vAlign w:val="bottom"/>
          </w:tcPr>
          <w:p>
            <w:pPr>
              <w:rPr>
                <w:rFonts w:hint="default" w:ascii="Times New Roman" w:hAnsi="Times New Roman" w:cs="Times New Roman"/>
                <w:i w:val="0"/>
                <w:color w:val="000000"/>
                <w:sz w:val="20"/>
                <w:szCs w:val="20"/>
                <w:highlight w:val="none"/>
                <w:u w:val="none"/>
              </w:rPr>
            </w:pPr>
          </w:p>
        </w:tc>
        <w:tc>
          <w:tcPr>
            <w:tcW w:w="457" w:type="dxa"/>
            <w:noWrap w:val="0"/>
            <w:vAlign w:val="bottom"/>
          </w:tcPr>
          <w:p>
            <w:pPr>
              <w:rPr>
                <w:rFonts w:hint="default" w:ascii="Times New Roman" w:hAnsi="Times New Roman" w:cs="Times New Roman"/>
                <w:i w:val="0"/>
                <w:color w:val="000000"/>
                <w:sz w:val="20"/>
                <w:szCs w:val="20"/>
                <w:highlight w:val="none"/>
                <w:u w:val="none"/>
              </w:rPr>
            </w:pPr>
          </w:p>
        </w:tc>
        <w:tc>
          <w:tcPr>
            <w:tcW w:w="534" w:type="dxa"/>
            <w:noWrap w:val="0"/>
            <w:vAlign w:val="bottom"/>
          </w:tcPr>
          <w:p>
            <w:pPr>
              <w:rPr>
                <w:rFonts w:hint="default" w:ascii="Times New Roman" w:hAnsi="Times New Roman" w:cs="Times New Roman"/>
                <w:i w:val="0"/>
                <w:color w:val="000000"/>
                <w:sz w:val="20"/>
                <w:szCs w:val="20"/>
                <w:highlight w:val="none"/>
                <w:u w:val="none"/>
              </w:rPr>
            </w:pPr>
          </w:p>
        </w:tc>
        <w:tc>
          <w:tcPr>
            <w:tcW w:w="519" w:type="dxa"/>
            <w:noWrap w:val="0"/>
            <w:vAlign w:val="bottom"/>
          </w:tcPr>
          <w:p>
            <w:pPr>
              <w:rPr>
                <w:rFonts w:hint="default" w:ascii="Times New Roman" w:hAnsi="Times New Roman" w:cs="Times New Roman"/>
                <w:i w:val="0"/>
                <w:color w:val="000000"/>
                <w:sz w:val="20"/>
                <w:szCs w:val="20"/>
                <w:highlight w:val="none"/>
                <w:u w:val="none"/>
              </w:rPr>
            </w:pPr>
          </w:p>
        </w:tc>
        <w:tc>
          <w:tcPr>
            <w:tcW w:w="582" w:type="dxa"/>
            <w:noWrap w:val="0"/>
            <w:vAlign w:val="bottom"/>
          </w:tcPr>
          <w:p>
            <w:pPr>
              <w:rPr>
                <w:rFonts w:hint="default" w:ascii="Times New Roman" w:hAnsi="Times New Roman" w:cs="Times New Roman"/>
                <w:i w:val="0"/>
                <w:color w:val="000000"/>
                <w:sz w:val="20"/>
                <w:szCs w:val="20"/>
                <w:highlight w:val="none"/>
                <w:u w:val="none"/>
              </w:rPr>
            </w:pPr>
          </w:p>
        </w:tc>
        <w:tc>
          <w:tcPr>
            <w:tcW w:w="615" w:type="dxa"/>
            <w:noWrap w:val="0"/>
            <w:vAlign w:val="bottom"/>
          </w:tcPr>
          <w:p>
            <w:pPr>
              <w:rPr>
                <w:rFonts w:hint="default" w:ascii="Times New Roman" w:hAnsi="Times New Roman" w:cs="Times New Roman"/>
                <w:i w:val="0"/>
                <w:color w:val="000000"/>
                <w:sz w:val="20"/>
                <w:szCs w:val="20"/>
                <w:highlight w:val="none"/>
                <w:u w:val="none"/>
              </w:rPr>
            </w:pPr>
          </w:p>
        </w:tc>
        <w:tc>
          <w:tcPr>
            <w:tcW w:w="1125" w:type="dxa"/>
            <w:gridSpan w:val="2"/>
            <w:noWrap w:val="0"/>
            <w:vAlign w:val="bottom"/>
          </w:tcPr>
          <w:p>
            <w:pPr>
              <w:rPr>
                <w:rFonts w:hint="default" w:ascii="Times New Roman" w:hAnsi="Times New Roman"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jc w:val="center"/>
        </w:trPr>
        <w:tc>
          <w:tcPr>
            <w:tcW w:w="10140" w:type="dxa"/>
            <w:gridSpan w:val="15"/>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国有资本经营预算收支总表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jc w:val="center"/>
        </w:trPr>
        <w:tc>
          <w:tcPr>
            <w:tcW w:w="1298"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5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02"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6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9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7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01"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27"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57" w:type="dxa"/>
            <w:noWrap w:val="0"/>
            <w:vAlign w:val="bottom"/>
          </w:tcPr>
          <w:p>
            <w:pPr>
              <w:rPr>
                <w:rFonts w:hint="default" w:ascii="Times New Roman" w:hAnsi="Times New Roman" w:cs="Times New Roman"/>
                <w:i w:val="0"/>
                <w:color w:val="000000"/>
                <w:sz w:val="20"/>
                <w:szCs w:val="20"/>
                <w:highlight w:val="none"/>
                <w:u w:val="none"/>
              </w:rPr>
            </w:pPr>
          </w:p>
        </w:tc>
        <w:tc>
          <w:tcPr>
            <w:tcW w:w="534" w:type="dxa"/>
            <w:noWrap w:val="0"/>
            <w:vAlign w:val="bottom"/>
          </w:tcPr>
          <w:p>
            <w:pPr>
              <w:rPr>
                <w:rFonts w:hint="default" w:ascii="Times New Roman" w:hAnsi="Times New Roman" w:cs="Times New Roman"/>
                <w:i w:val="0"/>
                <w:color w:val="000000"/>
                <w:sz w:val="20"/>
                <w:szCs w:val="20"/>
                <w:highlight w:val="none"/>
                <w:u w:val="none"/>
              </w:rPr>
            </w:pPr>
          </w:p>
        </w:tc>
        <w:tc>
          <w:tcPr>
            <w:tcW w:w="519" w:type="dxa"/>
            <w:noWrap w:val="0"/>
            <w:vAlign w:val="bottom"/>
          </w:tcPr>
          <w:p>
            <w:pPr>
              <w:rPr>
                <w:rFonts w:hint="default" w:ascii="Times New Roman" w:hAnsi="Times New Roman" w:cs="Times New Roman"/>
                <w:i w:val="0"/>
                <w:color w:val="000000"/>
                <w:sz w:val="20"/>
                <w:szCs w:val="20"/>
                <w:highlight w:val="none"/>
                <w:u w:val="none"/>
              </w:rPr>
            </w:pPr>
          </w:p>
        </w:tc>
        <w:tc>
          <w:tcPr>
            <w:tcW w:w="582" w:type="dxa"/>
            <w:noWrap w:val="0"/>
            <w:vAlign w:val="bottom"/>
          </w:tcPr>
          <w:p>
            <w:pPr>
              <w:rPr>
                <w:rFonts w:hint="default" w:ascii="Times New Roman" w:hAnsi="Times New Roman" w:cs="Times New Roman"/>
                <w:i w:val="0"/>
                <w:color w:val="000000"/>
                <w:sz w:val="20"/>
                <w:szCs w:val="20"/>
                <w:highlight w:val="none"/>
                <w:u w:val="none"/>
              </w:rPr>
            </w:pPr>
          </w:p>
        </w:tc>
        <w:tc>
          <w:tcPr>
            <w:tcW w:w="1740" w:type="dxa"/>
            <w:gridSpan w:val="3"/>
            <w:tcBorders>
              <w:bottom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jc w:val="center"/>
        </w:trPr>
        <w:tc>
          <w:tcPr>
            <w:tcW w:w="4981"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          入</w:t>
            </w:r>
          </w:p>
        </w:tc>
        <w:tc>
          <w:tcPr>
            <w:tcW w:w="5159"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jc w:val="center"/>
        </w:trPr>
        <w:tc>
          <w:tcPr>
            <w:tcW w:w="12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6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207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预算数</w:t>
            </w:r>
          </w:p>
        </w:tc>
        <w:tc>
          <w:tcPr>
            <w:tcW w:w="132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51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232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129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u w:val="none"/>
                <w:lang w:val="en-US" w:eastAsia="zh-CN" w:bidi="ar"/>
              </w:rPr>
              <w:t>喀什地区</w:t>
            </w:r>
            <w:r>
              <w:rPr>
                <w:rFonts w:hint="default" w:ascii="Times New Roman" w:hAnsi="Times New Roman" w:eastAsia="宋体" w:cs="Times New Roman"/>
                <w:b/>
                <w:i w:val="0"/>
                <w:color w:val="000000"/>
                <w:kern w:val="0"/>
                <w:sz w:val="20"/>
                <w:szCs w:val="20"/>
                <w:u w:val="none"/>
                <w:lang w:val="en-US" w:eastAsia="zh-CN" w:bidi="ar"/>
              </w:rPr>
              <w:t>本级</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u w:val="none"/>
                <w:lang w:val="en-US" w:eastAsia="zh-CN" w:bidi="ar"/>
              </w:rPr>
              <w:t>以下</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u w:val="none"/>
                <w:lang w:val="en-US" w:eastAsia="zh-CN" w:bidi="ar"/>
              </w:rPr>
              <w:t>喀什地区</w:t>
            </w:r>
            <w:r>
              <w:rPr>
                <w:rFonts w:hint="default" w:ascii="Times New Roman" w:hAnsi="Times New Roman" w:eastAsia="宋体" w:cs="Times New Roman"/>
                <w:b/>
                <w:i w:val="0"/>
                <w:color w:val="000000"/>
                <w:kern w:val="0"/>
                <w:sz w:val="20"/>
                <w:szCs w:val="20"/>
                <w:u w:val="none"/>
                <w:lang w:val="en-US" w:eastAsia="zh-CN" w:bidi="ar"/>
              </w:rPr>
              <w:t>本级</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u w:val="none"/>
                <w:lang w:val="en-US" w:eastAsia="zh-CN" w:bidi="ar"/>
              </w:rPr>
              <w:t>以下</w:t>
            </w:r>
          </w:p>
        </w:tc>
        <w:tc>
          <w:tcPr>
            <w:tcW w:w="132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5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u w:val="none"/>
                <w:lang w:val="en-US" w:eastAsia="zh-CN" w:bidi="ar"/>
              </w:rPr>
              <w:t>喀什地区</w:t>
            </w:r>
            <w:r>
              <w:rPr>
                <w:rFonts w:hint="default" w:ascii="Times New Roman" w:hAnsi="Times New Roman" w:eastAsia="宋体" w:cs="Times New Roman"/>
                <w:b/>
                <w:i w:val="0"/>
                <w:color w:val="000000"/>
                <w:kern w:val="0"/>
                <w:sz w:val="20"/>
                <w:szCs w:val="20"/>
                <w:u w:val="none"/>
                <w:lang w:val="en-US" w:eastAsia="zh-CN" w:bidi="ar"/>
              </w:rPr>
              <w:t>本级</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u w:val="none"/>
                <w:lang w:val="en-US" w:eastAsia="zh-CN" w:bidi="ar"/>
              </w:rPr>
              <w:t>以下</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u w:val="none"/>
                <w:lang w:val="en-US" w:eastAsia="zh-CN" w:bidi="ar"/>
              </w:rPr>
              <w:t>喀什地区</w:t>
            </w:r>
            <w:r>
              <w:rPr>
                <w:rFonts w:hint="default" w:ascii="Times New Roman" w:hAnsi="Times New Roman" w:eastAsia="宋体" w:cs="Times New Roman"/>
                <w:b/>
                <w:i w:val="0"/>
                <w:color w:val="000000"/>
                <w:kern w:val="0"/>
                <w:sz w:val="20"/>
                <w:szCs w:val="20"/>
                <w:u w:val="none"/>
                <w:lang w:val="en-US" w:eastAsia="zh-CN" w:bidi="ar"/>
              </w:rPr>
              <w:t>本级</w:t>
            </w:r>
          </w:p>
        </w:tc>
        <w:tc>
          <w:tcPr>
            <w:tcW w:w="9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eastAsia="zh-CN" w:bidi="ar"/>
              </w:rPr>
            </w:pPr>
            <w:r>
              <w:rPr>
                <w:rFonts w:hint="default" w:ascii="Times New Roman" w:hAnsi="Times New Roman" w:eastAsia="宋体" w:cs="Times New Roman"/>
                <w:b/>
                <w:i w:val="0"/>
                <w:color w:val="000000"/>
                <w:kern w:val="0"/>
                <w:sz w:val="20"/>
                <w:szCs w:val="20"/>
                <w:u w:val="none"/>
                <w:lang w:val="en-US" w:eastAsia="zh-CN" w:bidi="ar"/>
              </w:rPr>
              <w:t>地市级</w:t>
            </w:r>
          </w:p>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u w:val="none"/>
                <w:lang w:val="en-US" w:eastAsia="zh-CN" w:bidi="ar"/>
              </w:rPr>
              <w:t>以下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2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一、利润收入</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1088</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1088</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1200</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1200</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一、解决历史遗留问题及改革成本支出</w:t>
            </w: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w:t>
            </w:r>
          </w:p>
        </w:tc>
        <w:tc>
          <w:tcPr>
            <w:tcW w:w="53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w:t>
            </w: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2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w:t>
            </w:r>
            <w:r>
              <w:rPr>
                <w:rFonts w:hint="eastAsia" w:cs="Times New Roman"/>
                <w:i w:val="0"/>
                <w:color w:val="000000"/>
                <w:kern w:val="0"/>
                <w:sz w:val="20"/>
                <w:szCs w:val="20"/>
                <w:highlight w:val="none"/>
                <w:u w:val="none"/>
                <w:lang w:val="en-US" w:eastAsia="zh-CN" w:bidi="ar"/>
              </w:rPr>
              <w:t>股息红利</w:t>
            </w:r>
            <w:r>
              <w:rPr>
                <w:rFonts w:hint="default" w:ascii="Times New Roman" w:hAnsi="Times New Roman" w:eastAsia="宋体" w:cs="Times New Roman"/>
                <w:i w:val="0"/>
                <w:color w:val="000000"/>
                <w:kern w:val="0"/>
                <w:sz w:val="20"/>
                <w:szCs w:val="20"/>
                <w:highlight w:val="none"/>
                <w:u w:val="none"/>
                <w:lang w:val="en-US" w:eastAsia="zh-CN" w:bidi="ar"/>
              </w:rPr>
              <w:t>收入</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二、国有企业资本金注入</w:t>
            </w: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500</w:t>
            </w:r>
          </w:p>
        </w:tc>
        <w:tc>
          <w:tcPr>
            <w:tcW w:w="53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500</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1000</w:t>
            </w: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2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三、产权转让收入</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三、国有企业</w:t>
            </w:r>
            <w:r>
              <w:rPr>
                <w:rFonts w:hint="eastAsia" w:cs="Times New Roman"/>
                <w:i w:val="0"/>
                <w:color w:val="000000"/>
                <w:kern w:val="0"/>
                <w:sz w:val="20"/>
                <w:szCs w:val="20"/>
                <w:highlight w:val="none"/>
                <w:u w:val="none"/>
                <w:lang w:val="en-US" w:eastAsia="zh-CN" w:bidi="ar"/>
              </w:rPr>
              <w:t>公益</w:t>
            </w:r>
            <w:r>
              <w:rPr>
                <w:rFonts w:hint="default" w:ascii="Times New Roman" w:hAnsi="Times New Roman" w:eastAsia="宋体" w:cs="Times New Roman"/>
                <w:i w:val="0"/>
                <w:color w:val="000000"/>
                <w:kern w:val="0"/>
                <w:sz w:val="20"/>
                <w:szCs w:val="20"/>
                <w:highlight w:val="none"/>
                <w:u w:val="none"/>
                <w:lang w:val="en-US" w:eastAsia="zh-CN" w:bidi="ar"/>
              </w:rPr>
              <w:t>性补贴</w:t>
            </w: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3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4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2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四、清算收入</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四、其他国有资本经营预算支出</w:t>
            </w: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3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4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2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五、其他国有资本经营预算收入</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3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4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jc w:val="center"/>
        </w:trPr>
        <w:tc>
          <w:tcPr>
            <w:tcW w:w="12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收入合计</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1088</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1088</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1200</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9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1200</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eastAsia="宋体" w:cs="Times New Roman"/>
                <w:b/>
                <w:i w:val="0"/>
                <w:color w:val="000000"/>
                <w:sz w:val="20"/>
                <w:szCs w:val="20"/>
                <w:highlight w:val="none"/>
                <w:u w:val="none"/>
                <w:lang w:val="en-US" w:eastAsia="zh-CN"/>
              </w:rPr>
              <w:t>支出合计</w:t>
            </w: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505</w:t>
            </w:r>
          </w:p>
        </w:tc>
        <w:tc>
          <w:tcPr>
            <w:tcW w:w="53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505</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1005</w:t>
            </w: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9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1005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2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国有资本经营预算转移支付收入</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ascii="Times New Roman" w:hAnsi="Times New Roman" w:eastAsia="宋体" w:cs="Times New Roman"/>
                <w:i w:val="0"/>
                <w:color w:val="000000"/>
                <w:sz w:val="20"/>
                <w:szCs w:val="20"/>
                <w:highlight w:val="none"/>
                <w:u w:val="none"/>
                <w:lang w:val="en-US" w:eastAsia="zh-CN"/>
              </w:rPr>
              <w:t>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ascii="Times New Roman" w:hAnsi="Times New Roman" w:eastAsia="宋体" w:cs="Times New Roman"/>
                <w:i w:val="0"/>
                <w:color w:val="000000"/>
                <w:sz w:val="20"/>
                <w:szCs w:val="20"/>
                <w:highlight w:val="none"/>
                <w:u w:val="none"/>
                <w:lang w:val="en-US" w:eastAsia="zh-CN"/>
              </w:rPr>
              <w:t>5</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ascii="Times New Roman" w:hAnsi="Times New Roman" w:eastAsia="宋体" w:cs="Times New Roman"/>
                <w:i w:val="0"/>
                <w:color w:val="000000"/>
                <w:sz w:val="20"/>
                <w:szCs w:val="20"/>
                <w:highlight w:val="none"/>
                <w:u w:val="none"/>
                <w:lang w:val="en-US" w:eastAsia="zh-CN"/>
              </w:rPr>
              <w:t>5</w:t>
            </w:r>
          </w:p>
        </w:tc>
        <w:tc>
          <w:tcPr>
            <w:tcW w:w="675"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p>
        </w:tc>
        <w:tc>
          <w:tcPr>
            <w:tcW w:w="901"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ascii="Times New Roman" w:hAnsi="Times New Roman" w:eastAsia="宋体" w:cs="Times New Roman"/>
                <w:i w:val="0"/>
                <w:color w:val="000000"/>
                <w:sz w:val="20"/>
                <w:szCs w:val="20"/>
                <w:highlight w:val="none"/>
                <w:u w:val="none"/>
                <w:lang w:val="en-US" w:eastAsia="zh-CN"/>
              </w:rPr>
              <w:t>5</w:t>
            </w:r>
          </w:p>
        </w:tc>
        <w:tc>
          <w:tcPr>
            <w:tcW w:w="132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国有资本经营预算转移支付支出</w:t>
            </w: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53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9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2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国有资本经营预算上解收入</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p>
        </w:tc>
        <w:tc>
          <w:tcPr>
            <w:tcW w:w="495"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国有资本经营预算上解支出</w:t>
            </w:r>
          </w:p>
        </w:tc>
        <w:tc>
          <w:tcPr>
            <w:tcW w:w="457" w:type="dxa"/>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3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2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kern w:val="0"/>
                <w:sz w:val="20"/>
                <w:szCs w:val="20"/>
                <w:highlight w:val="none"/>
                <w:u w:val="none"/>
                <w:lang w:val="en-US" w:eastAsia="zh-CN" w:bidi="ar"/>
              </w:rPr>
              <w:t>国有资本经营预算</w:t>
            </w:r>
            <w:r>
              <w:rPr>
                <w:rFonts w:hint="default" w:ascii="Times New Roman" w:hAnsi="Times New Roman" w:eastAsia="宋体" w:cs="Times New Roman"/>
                <w:i w:val="0"/>
                <w:color w:val="000000"/>
                <w:kern w:val="0"/>
                <w:sz w:val="20"/>
                <w:szCs w:val="20"/>
                <w:highlight w:val="none"/>
                <w:u w:val="none"/>
                <w:lang w:val="en-US" w:eastAsia="zh-CN" w:bidi="ar"/>
              </w:rPr>
              <w:t>上年结转</w:t>
            </w:r>
            <w:r>
              <w:rPr>
                <w:rFonts w:hint="eastAsia" w:cs="Times New Roman"/>
                <w:i w:val="0"/>
                <w:color w:val="000000"/>
                <w:kern w:val="0"/>
                <w:sz w:val="20"/>
                <w:szCs w:val="20"/>
                <w:highlight w:val="none"/>
                <w:u w:val="none"/>
                <w:lang w:val="en-US" w:eastAsia="zh-CN" w:bidi="ar"/>
              </w:rPr>
              <w:t>收入</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60" w:type="dxa"/>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200</w:t>
            </w:r>
          </w:p>
        </w:tc>
        <w:tc>
          <w:tcPr>
            <w:tcW w:w="675" w:type="dxa"/>
            <w:tcBorders>
              <w:top w:val="single" w:color="auto"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01" w:type="dxa"/>
            <w:tcBorders>
              <w:top w:val="single" w:color="auto"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200</w:t>
            </w:r>
          </w:p>
        </w:tc>
        <w:tc>
          <w:tcPr>
            <w:tcW w:w="132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国有资本经营预算调出资金</w:t>
            </w:r>
          </w:p>
        </w:tc>
        <w:tc>
          <w:tcPr>
            <w:tcW w:w="4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388</w:t>
            </w:r>
          </w:p>
        </w:tc>
        <w:tc>
          <w:tcPr>
            <w:tcW w:w="53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388</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400</w:t>
            </w:r>
          </w:p>
        </w:tc>
        <w:tc>
          <w:tcPr>
            <w:tcW w:w="79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298" w:type="dxa"/>
            <w:tcBorders>
              <w:top w:val="single" w:color="000000" w:sz="4" w:space="0"/>
              <w:left w:val="single" w:color="000000" w:sz="4" w:space="0"/>
              <w:bottom w:val="single" w:color="auto"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lang w:val="en-US"/>
              </w:rPr>
            </w:pPr>
          </w:p>
        </w:tc>
        <w:tc>
          <w:tcPr>
            <w:tcW w:w="450"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02"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60"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95"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75"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01"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32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kern w:val="0"/>
                <w:sz w:val="20"/>
                <w:szCs w:val="20"/>
                <w:highlight w:val="none"/>
                <w:u w:val="none"/>
                <w:lang w:val="en-US" w:eastAsia="zh-CN" w:bidi="ar"/>
              </w:rPr>
              <w:t>国有资本经营预算年终结余</w:t>
            </w:r>
          </w:p>
        </w:tc>
        <w:tc>
          <w:tcPr>
            <w:tcW w:w="457"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200</w:t>
            </w:r>
          </w:p>
        </w:tc>
        <w:tc>
          <w:tcPr>
            <w:tcW w:w="534"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19"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200</w:t>
            </w:r>
          </w:p>
        </w:tc>
        <w:tc>
          <w:tcPr>
            <w:tcW w:w="58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2" w:type="dxa"/>
            <w:gridSpan w:val="2"/>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4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收入总计</w:t>
            </w: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1093</w:t>
            </w:r>
          </w:p>
        </w:tc>
        <w:tc>
          <w:tcPr>
            <w:tcW w:w="5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cs="Times New Roman"/>
                <w:b/>
                <w:i w:val="0"/>
                <w:color w:val="000000"/>
                <w:sz w:val="20"/>
                <w:szCs w:val="20"/>
                <w:highlight w:val="none"/>
                <w:u w:val="none"/>
                <w:lang w:val="en-US" w:eastAsia="zh-CN"/>
              </w:rPr>
              <w:t>1093</w:t>
            </w: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1405</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9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1405</w:t>
            </w:r>
          </w:p>
        </w:tc>
        <w:tc>
          <w:tcPr>
            <w:tcW w:w="13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b/>
                <w:i w:val="0"/>
                <w:color w:val="000000"/>
                <w:kern w:val="0"/>
                <w:sz w:val="20"/>
                <w:szCs w:val="20"/>
                <w:highlight w:val="none"/>
                <w:u w:val="none"/>
                <w:lang w:val="en-US" w:eastAsia="zh-CN" w:bidi="ar"/>
              </w:rPr>
              <w:t>支出总计</w:t>
            </w: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1093</w:t>
            </w:r>
          </w:p>
        </w:tc>
        <w:tc>
          <w:tcPr>
            <w:tcW w:w="53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5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1093</w:t>
            </w:r>
          </w:p>
        </w:tc>
        <w:tc>
          <w:tcPr>
            <w:tcW w:w="5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1405</w:t>
            </w:r>
          </w:p>
        </w:tc>
        <w:tc>
          <w:tcPr>
            <w:tcW w:w="79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94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ascii="Times New Roman" w:hAnsi="Times New Roman" w:eastAsia="宋体" w:cs="Times New Roman"/>
                <w:b/>
                <w:i w:val="0"/>
                <w:color w:val="000000"/>
                <w:sz w:val="20"/>
                <w:szCs w:val="20"/>
                <w:highlight w:val="none"/>
                <w:u w:val="none"/>
                <w:lang w:val="en-US" w:eastAsia="zh-CN"/>
              </w:rPr>
              <w:t>1405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298" w:type="dxa"/>
            <w:tcBorders>
              <w:top w:val="single" w:color="auto" w:sz="4" w:space="0"/>
              <w:left w:val="nil"/>
              <w:bottom w:val="nil"/>
              <w:right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p>
        </w:tc>
        <w:tc>
          <w:tcPr>
            <w:tcW w:w="450" w:type="dxa"/>
            <w:tcBorders>
              <w:top w:val="single" w:color="auto" w:sz="4" w:space="0"/>
              <w:left w:val="nil"/>
              <w:bottom w:val="nil"/>
              <w:right w:val="nil"/>
            </w:tcBorders>
            <w:noWrap w:val="0"/>
            <w:vAlign w:val="center"/>
          </w:tcPr>
          <w:p>
            <w:pPr>
              <w:jc w:val="center"/>
              <w:rPr>
                <w:rFonts w:hint="eastAsia" w:ascii="Times New Roman" w:hAnsi="Times New Roman" w:eastAsia="宋体" w:cs="Times New Roman"/>
                <w:b/>
                <w:i w:val="0"/>
                <w:color w:val="000000"/>
                <w:sz w:val="20"/>
                <w:szCs w:val="20"/>
                <w:highlight w:val="none"/>
                <w:u w:val="none"/>
                <w:lang w:val="en-US" w:eastAsia="zh-CN"/>
              </w:rPr>
            </w:pPr>
          </w:p>
        </w:tc>
        <w:tc>
          <w:tcPr>
            <w:tcW w:w="502" w:type="dxa"/>
            <w:tcBorders>
              <w:top w:val="single" w:color="auto" w:sz="4" w:space="0"/>
              <w:left w:val="nil"/>
              <w:bottom w:val="nil"/>
              <w:right w:val="nil"/>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660" w:type="dxa"/>
            <w:tcBorders>
              <w:top w:val="single" w:color="auto" w:sz="4" w:space="0"/>
              <w:left w:val="nil"/>
              <w:bottom w:val="nil"/>
              <w:right w:val="nil"/>
            </w:tcBorders>
            <w:noWrap w:val="0"/>
            <w:vAlign w:val="center"/>
          </w:tcPr>
          <w:p>
            <w:pPr>
              <w:jc w:val="center"/>
              <w:rPr>
                <w:rFonts w:hint="eastAsia" w:cs="Times New Roman"/>
                <w:b/>
                <w:i w:val="0"/>
                <w:color w:val="000000"/>
                <w:sz w:val="20"/>
                <w:szCs w:val="20"/>
                <w:highlight w:val="none"/>
                <w:u w:val="none"/>
                <w:lang w:val="en-US" w:eastAsia="zh-CN"/>
              </w:rPr>
            </w:pPr>
          </w:p>
        </w:tc>
        <w:tc>
          <w:tcPr>
            <w:tcW w:w="495" w:type="dxa"/>
            <w:tcBorders>
              <w:top w:val="single" w:color="auto" w:sz="4" w:space="0"/>
              <w:left w:val="nil"/>
              <w:bottom w:val="nil"/>
              <w:right w:val="nil"/>
            </w:tcBorders>
            <w:noWrap w:val="0"/>
            <w:vAlign w:val="center"/>
          </w:tcPr>
          <w:p>
            <w:pPr>
              <w:jc w:val="center"/>
              <w:rPr>
                <w:rFonts w:hint="eastAsia" w:ascii="Times New Roman" w:hAnsi="Times New Roman" w:eastAsia="宋体" w:cs="Times New Roman"/>
                <w:b/>
                <w:i w:val="0"/>
                <w:color w:val="000000"/>
                <w:sz w:val="20"/>
                <w:szCs w:val="20"/>
                <w:highlight w:val="none"/>
                <w:u w:val="none"/>
                <w:lang w:val="en-US" w:eastAsia="zh-CN"/>
              </w:rPr>
            </w:pPr>
          </w:p>
        </w:tc>
        <w:tc>
          <w:tcPr>
            <w:tcW w:w="675" w:type="dxa"/>
            <w:tcBorders>
              <w:top w:val="single" w:color="auto" w:sz="4" w:space="0"/>
              <w:left w:val="nil"/>
              <w:bottom w:val="nil"/>
              <w:right w:val="nil"/>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901" w:type="dxa"/>
            <w:tcBorders>
              <w:top w:val="single" w:color="auto" w:sz="4" w:space="0"/>
              <w:left w:val="nil"/>
              <w:bottom w:val="nil"/>
              <w:right w:val="nil"/>
            </w:tcBorders>
            <w:noWrap w:val="0"/>
            <w:vAlign w:val="center"/>
          </w:tcPr>
          <w:p>
            <w:pPr>
              <w:jc w:val="center"/>
              <w:rPr>
                <w:rFonts w:hint="eastAsia" w:ascii="Times New Roman" w:hAnsi="Times New Roman" w:eastAsia="宋体" w:cs="Times New Roman"/>
                <w:b/>
                <w:i w:val="0"/>
                <w:color w:val="000000"/>
                <w:sz w:val="20"/>
                <w:szCs w:val="20"/>
                <w:highlight w:val="none"/>
                <w:u w:val="none"/>
                <w:lang w:val="en-US" w:eastAsia="zh-CN"/>
              </w:rPr>
            </w:pPr>
          </w:p>
        </w:tc>
        <w:tc>
          <w:tcPr>
            <w:tcW w:w="1327" w:type="dxa"/>
            <w:tcBorders>
              <w:top w:val="single" w:color="auto" w:sz="4" w:space="0"/>
              <w:left w:val="nil"/>
              <w:bottom w:val="nil"/>
              <w:right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p>
        </w:tc>
        <w:tc>
          <w:tcPr>
            <w:tcW w:w="457" w:type="dxa"/>
            <w:tcBorders>
              <w:top w:val="single" w:color="auto" w:sz="4" w:space="0"/>
              <w:left w:val="nil"/>
              <w:bottom w:val="nil"/>
              <w:right w:val="nil"/>
            </w:tcBorders>
            <w:noWrap w:val="0"/>
            <w:vAlign w:val="center"/>
          </w:tcPr>
          <w:p>
            <w:pPr>
              <w:jc w:val="center"/>
              <w:rPr>
                <w:rFonts w:hint="eastAsia" w:ascii="Times New Roman" w:hAnsi="Times New Roman" w:eastAsia="宋体" w:cs="Times New Roman"/>
                <w:b/>
                <w:i w:val="0"/>
                <w:color w:val="000000"/>
                <w:sz w:val="20"/>
                <w:szCs w:val="20"/>
                <w:highlight w:val="none"/>
                <w:u w:val="none"/>
                <w:lang w:val="en-US" w:eastAsia="zh-CN"/>
              </w:rPr>
            </w:pPr>
          </w:p>
        </w:tc>
        <w:tc>
          <w:tcPr>
            <w:tcW w:w="534" w:type="dxa"/>
            <w:tcBorders>
              <w:top w:val="single" w:color="auto" w:sz="4" w:space="0"/>
              <w:left w:val="nil"/>
              <w:bottom w:val="nil"/>
              <w:right w:val="nil"/>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519" w:type="dxa"/>
            <w:tcBorders>
              <w:top w:val="single" w:color="auto" w:sz="4" w:space="0"/>
              <w:left w:val="nil"/>
              <w:bottom w:val="nil"/>
              <w:right w:val="nil"/>
            </w:tcBorders>
            <w:noWrap w:val="0"/>
            <w:vAlign w:val="center"/>
          </w:tcPr>
          <w:p>
            <w:pPr>
              <w:jc w:val="center"/>
              <w:rPr>
                <w:rFonts w:hint="eastAsia" w:ascii="Times New Roman" w:hAnsi="Times New Roman" w:eastAsia="宋体" w:cs="Times New Roman"/>
                <w:b/>
                <w:i w:val="0"/>
                <w:color w:val="000000"/>
                <w:sz w:val="20"/>
                <w:szCs w:val="20"/>
                <w:highlight w:val="none"/>
                <w:u w:val="none"/>
                <w:lang w:val="en-US" w:eastAsia="zh-CN"/>
              </w:rPr>
            </w:pPr>
          </w:p>
        </w:tc>
        <w:tc>
          <w:tcPr>
            <w:tcW w:w="582" w:type="dxa"/>
            <w:tcBorders>
              <w:top w:val="single" w:color="auto" w:sz="4" w:space="0"/>
              <w:left w:val="nil"/>
              <w:bottom w:val="nil"/>
              <w:right w:val="nil"/>
            </w:tcBorders>
            <w:noWrap w:val="0"/>
            <w:vAlign w:val="center"/>
          </w:tcPr>
          <w:p>
            <w:pPr>
              <w:jc w:val="center"/>
              <w:rPr>
                <w:rFonts w:hint="eastAsia" w:ascii="Times New Roman" w:hAnsi="Times New Roman" w:eastAsia="宋体" w:cs="Times New Roman"/>
                <w:b/>
                <w:i w:val="0"/>
                <w:color w:val="000000"/>
                <w:sz w:val="20"/>
                <w:szCs w:val="20"/>
                <w:highlight w:val="none"/>
                <w:u w:val="none"/>
                <w:lang w:val="en-US" w:eastAsia="zh-CN"/>
              </w:rPr>
            </w:pPr>
          </w:p>
        </w:tc>
        <w:tc>
          <w:tcPr>
            <w:tcW w:w="792" w:type="dxa"/>
            <w:gridSpan w:val="2"/>
            <w:tcBorders>
              <w:top w:val="single" w:color="auto" w:sz="4" w:space="0"/>
              <w:left w:val="nil"/>
              <w:bottom w:val="nil"/>
              <w:right w:val="nil"/>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p>
        </w:tc>
        <w:tc>
          <w:tcPr>
            <w:tcW w:w="948" w:type="dxa"/>
            <w:tcBorders>
              <w:top w:val="single" w:color="auto" w:sz="4" w:space="0"/>
              <w:left w:val="nil"/>
              <w:bottom w:val="nil"/>
              <w:right w:val="nil"/>
            </w:tcBorders>
            <w:noWrap w:val="0"/>
            <w:vAlign w:val="center"/>
          </w:tcPr>
          <w:p>
            <w:pPr>
              <w:jc w:val="center"/>
              <w:rPr>
                <w:rFonts w:hint="eastAsia" w:ascii="Times New Roman" w:hAnsi="Times New Roman" w:eastAsia="宋体" w:cs="Times New Roman"/>
                <w:b/>
                <w:i w:val="0"/>
                <w:color w:val="000000"/>
                <w:sz w:val="20"/>
                <w:szCs w:val="20"/>
                <w:highlight w:val="none"/>
                <w:u w:val="none"/>
                <w:lang w:val="en-US" w:eastAsia="zh-CN"/>
              </w:rPr>
            </w:pPr>
          </w:p>
        </w:tc>
      </w:tr>
    </w:tbl>
    <w:p>
      <w:pPr>
        <w:pStyle w:val="7"/>
        <w:rPr>
          <w:rFonts w:hint="default"/>
          <w:lang w:val="en-US" w:eastAsia="zh-Hans"/>
        </w:rPr>
      </w:pPr>
    </w:p>
    <w:p>
      <w:pPr>
        <w:pStyle w:val="7"/>
        <w:rPr>
          <w:rFonts w:hint="default"/>
          <w:lang w:val="en-US" w:eastAsia="zh-Hans"/>
        </w:rPr>
      </w:pPr>
    </w:p>
    <w:tbl>
      <w:tblPr>
        <w:tblStyle w:val="8"/>
        <w:tblpPr w:leftFromText="180" w:rightFromText="180" w:vertAnchor="text" w:horzAnchor="page" w:tblpXSpec="center" w:tblpY="873"/>
        <w:tblOverlap w:val="never"/>
        <w:tblW w:w="104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51"/>
        <w:gridCol w:w="2975"/>
        <w:gridCol w:w="656"/>
        <w:gridCol w:w="903"/>
        <w:gridCol w:w="1002"/>
        <w:gridCol w:w="1118"/>
        <w:gridCol w:w="894"/>
        <w:gridCol w:w="968"/>
        <w:gridCol w:w="7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7" w:hRule="atLeast"/>
          <w:jc w:val="center"/>
        </w:trPr>
        <w:tc>
          <w:tcPr>
            <w:tcW w:w="1151" w:type="dxa"/>
            <w:noWrap w:val="0"/>
            <w:vAlign w:val="bottom"/>
          </w:tcPr>
          <w:p>
            <w:pPr>
              <w:keepNext w:val="0"/>
              <w:keepLines w:val="0"/>
              <w:widowControl/>
              <w:suppressLineNumbers w:val="0"/>
              <w:jc w:val="left"/>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表1</w:t>
            </w:r>
            <w:r>
              <w:rPr>
                <w:rFonts w:hint="default" w:ascii="Times New Roman" w:hAnsi="Times New Roman" w:cs="Times New Roman"/>
                <w:i w:val="0"/>
                <w:color w:val="000000"/>
                <w:kern w:val="0"/>
                <w:sz w:val="20"/>
                <w:szCs w:val="20"/>
                <w:u w:val="none"/>
                <w:lang w:eastAsia="zh-CN" w:bidi="ar"/>
              </w:rPr>
              <w:t>5</w:t>
            </w:r>
          </w:p>
        </w:tc>
        <w:tc>
          <w:tcPr>
            <w:tcW w:w="2975" w:type="dxa"/>
            <w:noWrap w:val="0"/>
            <w:vAlign w:val="center"/>
          </w:tcPr>
          <w:p>
            <w:pPr>
              <w:rPr>
                <w:rFonts w:hint="default" w:ascii="Times New Roman" w:hAnsi="Times New Roman" w:eastAsia="宋体" w:cs="Times New Roman"/>
                <w:i w:val="0"/>
                <w:color w:val="000000"/>
                <w:sz w:val="24"/>
                <w:szCs w:val="24"/>
                <w:u w:val="none"/>
              </w:rPr>
            </w:pPr>
          </w:p>
        </w:tc>
        <w:tc>
          <w:tcPr>
            <w:tcW w:w="656" w:type="dxa"/>
            <w:noWrap w:val="0"/>
            <w:vAlign w:val="center"/>
          </w:tcPr>
          <w:p>
            <w:pPr>
              <w:rPr>
                <w:rFonts w:hint="default" w:ascii="Times New Roman" w:hAnsi="Times New Roman" w:eastAsia="宋体" w:cs="Times New Roman"/>
                <w:i w:val="0"/>
                <w:color w:val="000000"/>
                <w:sz w:val="24"/>
                <w:szCs w:val="24"/>
                <w:u w:val="none"/>
              </w:rPr>
            </w:pPr>
          </w:p>
        </w:tc>
        <w:tc>
          <w:tcPr>
            <w:tcW w:w="903" w:type="dxa"/>
            <w:noWrap w:val="0"/>
            <w:vAlign w:val="center"/>
          </w:tcPr>
          <w:p>
            <w:pPr>
              <w:rPr>
                <w:rFonts w:hint="default" w:ascii="Times New Roman" w:hAnsi="Times New Roman" w:eastAsia="宋体" w:cs="Times New Roman"/>
                <w:i w:val="0"/>
                <w:color w:val="000000"/>
                <w:sz w:val="24"/>
                <w:szCs w:val="24"/>
                <w:u w:val="none"/>
              </w:rPr>
            </w:pPr>
          </w:p>
        </w:tc>
        <w:tc>
          <w:tcPr>
            <w:tcW w:w="1002" w:type="dxa"/>
            <w:noWrap w:val="0"/>
            <w:vAlign w:val="center"/>
          </w:tcPr>
          <w:p>
            <w:pPr>
              <w:rPr>
                <w:rFonts w:hint="default" w:ascii="Times New Roman" w:hAnsi="Times New Roman" w:eastAsia="宋体" w:cs="Times New Roman"/>
                <w:i w:val="0"/>
                <w:color w:val="000000"/>
                <w:sz w:val="24"/>
                <w:szCs w:val="24"/>
                <w:u w:val="none"/>
              </w:rPr>
            </w:pPr>
          </w:p>
        </w:tc>
        <w:tc>
          <w:tcPr>
            <w:tcW w:w="1118" w:type="dxa"/>
            <w:noWrap w:val="0"/>
            <w:vAlign w:val="center"/>
          </w:tcPr>
          <w:p>
            <w:pPr>
              <w:rPr>
                <w:rFonts w:hint="default" w:ascii="Times New Roman" w:hAnsi="Times New Roman" w:eastAsia="宋体" w:cs="Times New Roman"/>
                <w:i w:val="0"/>
                <w:color w:val="000000"/>
                <w:sz w:val="24"/>
                <w:szCs w:val="24"/>
                <w:u w:val="none"/>
              </w:rPr>
            </w:pPr>
          </w:p>
        </w:tc>
        <w:tc>
          <w:tcPr>
            <w:tcW w:w="894" w:type="dxa"/>
            <w:noWrap w:val="0"/>
            <w:vAlign w:val="center"/>
          </w:tcPr>
          <w:p>
            <w:pPr>
              <w:rPr>
                <w:rFonts w:hint="default" w:ascii="Times New Roman" w:hAnsi="Times New Roman" w:eastAsia="宋体" w:cs="Times New Roman"/>
                <w:i w:val="0"/>
                <w:color w:val="000000"/>
                <w:sz w:val="24"/>
                <w:szCs w:val="24"/>
                <w:u w:val="none"/>
              </w:rPr>
            </w:pPr>
          </w:p>
        </w:tc>
        <w:tc>
          <w:tcPr>
            <w:tcW w:w="968" w:type="dxa"/>
            <w:noWrap w:val="0"/>
            <w:vAlign w:val="center"/>
          </w:tcPr>
          <w:p>
            <w:pPr>
              <w:rPr>
                <w:rFonts w:hint="default" w:ascii="Times New Roman" w:hAnsi="Times New Roman" w:eastAsia="宋体" w:cs="Times New Roman"/>
                <w:i w:val="0"/>
                <w:color w:val="000000"/>
                <w:sz w:val="24"/>
                <w:szCs w:val="24"/>
                <w:u w:val="none"/>
              </w:rPr>
            </w:pPr>
          </w:p>
        </w:tc>
        <w:tc>
          <w:tcPr>
            <w:tcW w:w="788" w:type="dxa"/>
            <w:noWrap w:val="0"/>
            <w:vAlign w:val="center"/>
          </w:tcPr>
          <w:p>
            <w:pPr>
              <w:rPr>
                <w:rFonts w:hint="default" w:ascii="Times New Roman" w:hAnsi="Times New Roman" w:eastAsia="宋体"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09" w:hRule="atLeast"/>
          <w:jc w:val="center"/>
        </w:trPr>
        <w:tc>
          <w:tcPr>
            <w:tcW w:w="10455" w:type="dxa"/>
            <w:gridSpan w:val="9"/>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eastAsia" w:cs="Times New Roman"/>
                <w:b/>
                <w:i w:val="0"/>
                <w:color w:val="000000"/>
                <w:kern w:val="0"/>
                <w:sz w:val="20"/>
                <w:szCs w:val="20"/>
                <w:u w:val="none"/>
                <w:lang w:val="en-US" w:eastAsia="zh-CN" w:bidi="ar"/>
              </w:rPr>
              <w:t>6</w:t>
            </w:r>
            <w:r>
              <w:rPr>
                <w:rFonts w:hint="default" w:ascii="Times New Roman" w:hAnsi="Times New Roman" w:eastAsia="宋体" w:cs="Times New Roman"/>
                <w:b/>
                <w:i w:val="0"/>
                <w:color w:val="000000"/>
                <w:kern w:val="0"/>
                <w:sz w:val="20"/>
                <w:szCs w:val="20"/>
                <w:u w:val="none"/>
                <w:lang w:val="en-US" w:eastAsia="zh-CN" w:bidi="ar"/>
              </w:rPr>
              <w:t>年</w:t>
            </w: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国有资本经营预算收入表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5" w:hRule="atLeast"/>
          <w:jc w:val="center"/>
        </w:trPr>
        <w:tc>
          <w:tcPr>
            <w:tcW w:w="1151" w:type="dxa"/>
            <w:noWrap w:val="0"/>
            <w:vAlign w:val="center"/>
          </w:tcPr>
          <w:p>
            <w:pPr>
              <w:jc w:val="center"/>
              <w:rPr>
                <w:rFonts w:hint="default" w:ascii="Times New Roman" w:hAnsi="Times New Roman" w:eastAsia="宋体" w:cs="Times New Roman"/>
                <w:i w:val="0"/>
                <w:color w:val="000000"/>
                <w:sz w:val="20"/>
                <w:szCs w:val="20"/>
                <w:u w:val="none"/>
              </w:rPr>
            </w:pPr>
          </w:p>
        </w:tc>
        <w:tc>
          <w:tcPr>
            <w:tcW w:w="2975" w:type="dxa"/>
            <w:noWrap w:val="0"/>
            <w:vAlign w:val="center"/>
          </w:tcPr>
          <w:p>
            <w:pPr>
              <w:jc w:val="center"/>
              <w:rPr>
                <w:rFonts w:hint="default" w:ascii="Times New Roman" w:hAnsi="Times New Roman" w:eastAsia="宋体" w:cs="Times New Roman"/>
                <w:i w:val="0"/>
                <w:color w:val="000000"/>
                <w:sz w:val="20"/>
                <w:szCs w:val="20"/>
                <w:u w:val="none"/>
              </w:rPr>
            </w:pPr>
          </w:p>
        </w:tc>
        <w:tc>
          <w:tcPr>
            <w:tcW w:w="656" w:type="dxa"/>
            <w:noWrap w:val="0"/>
            <w:vAlign w:val="center"/>
          </w:tcPr>
          <w:p>
            <w:pPr>
              <w:jc w:val="center"/>
              <w:rPr>
                <w:rFonts w:hint="default" w:ascii="Times New Roman" w:hAnsi="Times New Roman" w:eastAsia="宋体" w:cs="Times New Roman"/>
                <w:i w:val="0"/>
                <w:color w:val="000000"/>
                <w:sz w:val="20"/>
                <w:szCs w:val="20"/>
                <w:u w:val="none"/>
              </w:rPr>
            </w:pPr>
          </w:p>
        </w:tc>
        <w:tc>
          <w:tcPr>
            <w:tcW w:w="903" w:type="dxa"/>
            <w:noWrap w:val="0"/>
            <w:vAlign w:val="center"/>
          </w:tcPr>
          <w:p>
            <w:pPr>
              <w:jc w:val="center"/>
              <w:rPr>
                <w:rFonts w:hint="default" w:ascii="Times New Roman" w:hAnsi="Times New Roman" w:eastAsia="宋体" w:cs="Times New Roman"/>
                <w:i w:val="0"/>
                <w:color w:val="000000"/>
                <w:sz w:val="20"/>
                <w:szCs w:val="20"/>
                <w:u w:val="none"/>
              </w:rPr>
            </w:pPr>
          </w:p>
        </w:tc>
        <w:tc>
          <w:tcPr>
            <w:tcW w:w="1002" w:type="dxa"/>
            <w:noWrap w:val="0"/>
            <w:vAlign w:val="center"/>
          </w:tcPr>
          <w:p>
            <w:pPr>
              <w:jc w:val="center"/>
              <w:rPr>
                <w:rFonts w:hint="default" w:ascii="Times New Roman" w:hAnsi="Times New Roman" w:eastAsia="宋体" w:cs="Times New Roman"/>
                <w:i w:val="0"/>
                <w:color w:val="000000"/>
                <w:sz w:val="20"/>
                <w:szCs w:val="20"/>
                <w:u w:val="none"/>
              </w:rPr>
            </w:pPr>
          </w:p>
        </w:tc>
        <w:tc>
          <w:tcPr>
            <w:tcW w:w="1118" w:type="dxa"/>
            <w:noWrap w:val="0"/>
            <w:vAlign w:val="center"/>
          </w:tcPr>
          <w:p>
            <w:pPr>
              <w:rPr>
                <w:rFonts w:hint="default" w:ascii="Times New Roman" w:hAnsi="Times New Roman" w:eastAsia="宋体" w:cs="Times New Roman"/>
                <w:i w:val="0"/>
                <w:color w:val="000000"/>
                <w:sz w:val="24"/>
                <w:szCs w:val="24"/>
                <w:u w:val="none"/>
              </w:rPr>
            </w:pPr>
          </w:p>
        </w:tc>
        <w:tc>
          <w:tcPr>
            <w:tcW w:w="894" w:type="dxa"/>
            <w:noWrap w:val="0"/>
            <w:vAlign w:val="center"/>
          </w:tcPr>
          <w:p>
            <w:pPr>
              <w:rPr>
                <w:rFonts w:hint="default" w:ascii="Times New Roman" w:hAnsi="Times New Roman" w:eastAsia="宋体" w:cs="Times New Roman"/>
                <w:i w:val="0"/>
                <w:color w:val="000000"/>
                <w:sz w:val="24"/>
                <w:szCs w:val="24"/>
                <w:u w:val="none"/>
              </w:rPr>
            </w:pPr>
          </w:p>
        </w:tc>
        <w:tc>
          <w:tcPr>
            <w:tcW w:w="1756"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5" w:hRule="atLeast"/>
          <w:jc w:val="center"/>
        </w:trPr>
        <w:tc>
          <w:tcPr>
            <w:tcW w:w="115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29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科目名称／企业</w:t>
            </w:r>
          </w:p>
        </w:tc>
        <w:tc>
          <w:tcPr>
            <w:tcW w:w="25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w:t>
            </w: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w:t>
            </w:r>
          </w:p>
        </w:tc>
        <w:tc>
          <w:tcPr>
            <w:tcW w:w="29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6</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78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u w:val="none"/>
                <w:lang w:val="en-US" w:eastAsia="zh-CN" w:bidi="ar"/>
              </w:rPr>
            </w:pPr>
            <w:r>
              <w:rPr>
                <w:rFonts w:hint="default" w:ascii="Times New Roman" w:hAnsi="Times New Roman" w:eastAsia="宋体" w:cs="Times New Roman"/>
                <w:b/>
                <w:bCs/>
                <w:i w:val="0"/>
                <w:color w:val="000000"/>
                <w:kern w:val="0"/>
                <w:sz w:val="20"/>
                <w:szCs w:val="20"/>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78" w:hRule="atLeast"/>
          <w:jc w:val="center"/>
        </w:trPr>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29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6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小计</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eastAsia" w:cs="Times New Roman"/>
                <w:b/>
                <w:bCs/>
                <w:i w:val="0"/>
                <w:color w:val="000000"/>
                <w:kern w:val="0"/>
                <w:sz w:val="20"/>
                <w:szCs w:val="20"/>
                <w:u w:val="none"/>
                <w:lang w:eastAsia="zh-CN" w:bidi="ar"/>
              </w:rPr>
              <w:t>喀什地区</w:t>
            </w:r>
            <w:r>
              <w:rPr>
                <w:rFonts w:hint="default" w:ascii="Times New Roman" w:hAnsi="Times New Roman" w:eastAsia="宋体" w:cs="Times New Roman"/>
                <w:b/>
                <w:bCs/>
                <w:i w:val="0"/>
                <w:color w:val="000000"/>
                <w:kern w:val="0"/>
                <w:sz w:val="20"/>
                <w:szCs w:val="20"/>
                <w:u w:val="none"/>
                <w:lang w:val="en-US" w:eastAsia="zh-CN" w:bidi="ar"/>
              </w:rPr>
              <w:t>本级</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泽普县级及以下</w:t>
            </w: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小计</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eastAsia" w:cs="Times New Roman"/>
                <w:b/>
                <w:bCs/>
                <w:i w:val="0"/>
                <w:color w:val="000000"/>
                <w:kern w:val="0"/>
                <w:sz w:val="20"/>
                <w:szCs w:val="20"/>
                <w:u w:val="none"/>
                <w:lang w:eastAsia="zh-CN" w:bidi="ar"/>
              </w:rPr>
              <w:t>喀什地区</w:t>
            </w:r>
            <w:r>
              <w:rPr>
                <w:rFonts w:hint="default" w:ascii="Times New Roman" w:hAnsi="Times New Roman" w:eastAsia="宋体" w:cs="Times New Roman"/>
                <w:b/>
                <w:bCs/>
                <w:i w:val="0"/>
                <w:color w:val="000000"/>
                <w:kern w:val="0"/>
                <w:sz w:val="20"/>
                <w:szCs w:val="20"/>
                <w:u w:val="none"/>
                <w:lang w:val="en-US" w:eastAsia="zh-CN" w:bidi="ar"/>
              </w:rPr>
              <w:t>本级</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泽普县级及以下</w:t>
            </w:r>
          </w:p>
        </w:tc>
        <w:tc>
          <w:tcPr>
            <w:tcW w:w="78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5"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1030601</w:t>
            </w:r>
          </w:p>
        </w:tc>
        <w:tc>
          <w:tcPr>
            <w:tcW w:w="2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一、利润收入</w:t>
            </w:r>
          </w:p>
        </w:tc>
        <w:tc>
          <w:tcPr>
            <w:tcW w:w="6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1093</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rPr>
            </w:pPr>
            <w:r>
              <w:rPr>
                <w:rFonts w:hint="eastAsia" w:cs="Times New Roman"/>
                <w:i w:val="0"/>
                <w:color w:val="000000"/>
                <w:sz w:val="20"/>
                <w:szCs w:val="20"/>
                <w:u w:val="none"/>
                <w:lang w:val="en-US" w:eastAsia="zh-CN"/>
              </w:rPr>
              <w:t>1093</w:t>
            </w: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1405</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rPr>
            </w:pPr>
            <w:r>
              <w:rPr>
                <w:rFonts w:hint="eastAsia" w:cs="Times New Roman"/>
                <w:i w:val="0"/>
                <w:color w:val="000000"/>
                <w:sz w:val="20"/>
                <w:szCs w:val="20"/>
                <w:u w:val="none"/>
                <w:lang w:val="en-US" w:eastAsia="zh-CN"/>
              </w:rPr>
              <w:t>1405</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28.55</w:t>
            </w:r>
            <w:r>
              <w:rPr>
                <w:rFonts w:hint="default" w:ascii="Times New Roman" w:hAnsi="Times New Roman" w:cs="Times New Roman"/>
                <w:i w:val="0"/>
                <w:color w:val="000000"/>
                <w:sz w:val="20"/>
                <w:szCs w:val="20"/>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21"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103060198</w:t>
            </w:r>
          </w:p>
        </w:tc>
        <w:tc>
          <w:tcPr>
            <w:tcW w:w="2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其他国有资本经营预算企业利润收入</w:t>
            </w:r>
          </w:p>
        </w:tc>
        <w:tc>
          <w:tcPr>
            <w:tcW w:w="65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lang w:val="en-US" w:eastAsia="zh-CN"/>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u w:val="none"/>
                <w:lang w:val="en-US" w:eastAsia="zh-CN"/>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40"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1030602</w:t>
            </w:r>
          </w:p>
        </w:tc>
        <w:tc>
          <w:tcPr>
            <w:tcW w:w="2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二、股利、股息收入</w:t>
            </w:r>
          </w:p>
        </w:tc>
        <w:tc>
          <w:tcPr>
            <w:tcW w:w="6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6" w:hRule="atLeast"/>
          <w:jc w:val="center"/>
        </w:trPr>
        <w:tc>
          <w:tcPr>
            <w:tcW w:w="1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103060202</w:t>
            </w:r>
          </w:p>
        </w:tc>
        <w:tc>
          <w:tcPr>
            <w:tcW w:w="29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国有控股公司股利、股息收入</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right"/>
              <w:rPr>
                <w:rFonts w:hint="default" w:ascii="Times New Roman" w:hAnsi="Times New Roman" w:eastAsia="宋体" w:cs="Times New Roman"/>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6" w:hRule="atLeast"/>
          <w:jc w:val="center"/>
        </w:trPr>
        <w:tc>
          <w:tcPr>
            <w:tcW w:w="1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103060203</w:t>
            </w:r>
          </w:p>
        </w:tc>
        <w:tc>
          <w:tcPr>
            <w:tcW w:w="29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国有参股公司股利、股息收入</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right"/>
              <w:rPr>
                <w:rFonts w:hint="default" w:ascii="Times New Roman" w:hAnsi="Times New Roman" w:eastAsia="宋体" w:cs="Times New Roman"/>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0"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1030603</w:t>
            </w:r>
          </w:p>
        </w:tc>
        <w:tc>
          <w:tcPr>
            <w:tcW w:w="2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三、产权转让收入</w:t>
            </w:r>
          </w:p>
        </w:tc>
        <w:tc>
          <w:tcPr>
            <w:tcW w:w="6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5"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103060304</w:t>
            </w:r>
          </w:p>
        </w:tc>
        <w:tc>
          <w:tcPr>
            <w:tcW w:w="2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国有股权、股份转让收入</w:t>
            </w:r>
          </w:p>
        </w:tc>
        <w:tc>
          <w:tcPr>
            <w:tcW w:w="6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bottom"/>
          </w:tcPr>
          <w:p>
            <w:pPr>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1"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103060305</w:t>
            </w:r>
          </w:p>
        </w:tc>
        <w:tc>
          <w:tcPr>
            <w:tcW w:w="2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国有独资企业产权转让收入</w:t>
            </w:r>
          </w:p>
        </w:tc>
        <w:tc>
          <w:tcPr>
            <w:tcW w:w="6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2"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1030604</w:t>
            </w:r>
          </w:p>
        </w:tc>
        <w:tc>
          <w:tcPr>
            <w:tcW w:w="2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四、清算收入</w:t>
            </w:r>
          </w:p>
        </w:tc>
        <w:tc>
          <w:tcPr>
            <w:tcW w:w="6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5"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103060401</w:t>
            </w:r>
          </w:p>
        </w:tc>
        <w:tc>
          <w:tcPr>
            <w:tcW w:w="2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国有股权、股份清算收入</w:t>
            </w:r>
          </w:p>
        </w:tc>
        <w:tc>
          <w:tcPr>
            <w:tcW w:w="6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0" w:hRule="atLeast"/>
          <w:jc w:val="center"/>
        </w:trPr>
        <w:tc>
          <w:tcPr>
            <w:tcW w:w="1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103060402</w:t>
            </w:r>
          </w:p>
        </w:tc>
        <w:tc>
          <w:tcPr>
            <w:tcW w:w="2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国有独资企业清算收入</w:t>
            </w:r>
          </w:p>
        </w:tc>
        <w:tc>
          <w:tcPr>
            <w:tcW w:w="65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1" w:hRule="atLeast"/>
          <w:jc w:val="center"/>
        </w:trPr>
        <w:tc>
          <w:tcPr>
            <w:tcW w:w="1151"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1030699</w:t>
            </w:r>
          </w:p>
        </w:tc>
        <w:tc>
          <w:tcPr>
            <w:tcW w:w="2975"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五、其他国有资本经营预算收入</w:t>
            </w:r>
          </w:p>
        </w:tc>
        <w:tc>
          <w:tcPr>
            <w:tcW w:w="656"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03"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1118"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894"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968"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u w:val="none"/>
              </w:rPr>
            </w:pPr>
          </w:p>
        </w:tc>
        <w:tc>
          <w:tcPr>
            <w:tcW w:w="78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6" w:hRule="atLeast"/>
          <w:jc w:val="center"/>
        </w:trPr>
        <w:tc>
          <w:tcPr>
            <w:tcW w:w="1151"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eastAsia" w:cs="Times New Roman"/>
                <w:i w:val="0"/>
                <w:color w:val="000000"/>
                <w:kern w:val="0"/>
                <w:sz w:val="20"/>
                <w:szCs w:val="20"/>
                <w:u w:val="none"/>
                <w:lang w:val="en-US" w:eastAsia="zh-CN" w:bidi="ar"/>
              </w:rPr>
              <w:t>1100501</w:t>
            </w:r>
          </w:p>
        </w:tc>
        <w:tc>
          <w:tcPr>
            <w:tcW w:w="2975"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国有资本经营预算转移支付收入</w:t>
            </w:r>
          </w:p>
        </w:tc>
        <w:tc>
          <w:tcPr>
            <w:tcW w:w="65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u w:val="none"/>
                <w:lang w:val="en-US" w:eastAsia="zh-CN"/>
              </w:rPr>
            </w:pPr>
          </w:p>
        </w:tc>
        <w:tc>
          <w:tcPr>
            <w:tcW w:w="903"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u w:val="none"/>
                <w:lang w:val="en-US" w:eastAsia="zh-CN"/>
              </w:rPr>
            </w:pPr>
          </w:p>
        </w:tc>
        <w:tc>
          <w:tcPr>
            <w:tcW w:w="111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u w:val="none"/>
                <w:lang w:val="en-US" w:eastAsia="zh-CN"/>
              </w:rPr>
            </w:pPr>
          </w:p>
        </w:tc>
        <w:tc>
          <w:tcPr>
            <w:tcW w:w="894"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96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u w:val="none"/>
                <w:lang w:val="en-US" w:eastAsia="zh-CN"/>
              </w:rPr>
            </w:pPr>
          </w:p>
        </w:tc>
        <w:tc>
          <w:tcPr>
            <w:tcW w:w="78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6" w:hRule="atLeast"/>
          <w:jc w:val="center"/>
        </w:trPr>
        <w:tc>
          <w:tcPr>
            <w:tcW w:w="1151"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1100804</w:t>
            </w:r>
          </w:p>
        </w:tc>
        <w:tc>
          <w:tcPr>
            <w:tcW w:w="2975"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国有资本经营预算上年结余收入</w:t>
            </w:r>
          </w:p>
        </w:tc>
        <w:tc>
          <w:tcPr>
            <w:tcW w:w="65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u w:val="none"/>
                <w:lang w:val="en-US" w:eastAsia="zh-CN"/>
              </w:rPr>
            </w:pPr>
          </w:p>
        </w:tc>
        <w:tc>
          <w:tcPr>
            <w:tcW w:w="903"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100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u w:val="none"/>
                <w:lang w:val="en-US" w:eastAsia="zh-CN"/>
              </w:rPr>
            </w:pPr>
          </w:p>
        </w:tc>
        <w:tc>
          <w:tcPr>
            <w:tcW w:w="111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p>
        </w:tc>
        <w:tc>
          <w:tcPr>
            <w:tcW w:w="894"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c>
          <w:tcPr>
            <w:tcW w:w="96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lang w:val="en-US" w:eastAsia="zh-CN"/>
              </w:rPr>
            </w:pPr>
          </w:p>
        </w:tc>
        <w:tc>
          <w:tcPr>
            <w:tcW w:w="78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5" w:hRule="atLeast"/>
          <w:jc w:val="center"/>
        </w:trPr>
        <w:tc>
          <w:tcPr>
            <w:tcW w:w="11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p>
        </w:tc>
        <w:tc>
          <w:tcPr>
            <w:tcW w:w="2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cs="Times New Roman"/>
                <w:b/>
                <w:bCs/>
                <w:i w:val="0"/>
                <w:iCs w:val="0"/>
                <w:color w:val="000000"/>
                <w:kern w:val="0"/>
                <w:sz w:val="20"/>
                <w:szCs w:val="20"/>
                <w:u w:val="none"/>
                <w:lang w:val="en-US" w:eastAsia="zh-CN" w:bidi="ar"/>
              </w:rPr>
              <w:t>收入合计</w:t>
            </w: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bCs/>
                <w:i w:val="0"/>
                <w:color w:val="000000"/>
                <w:sz w:val="20"/>
                <w:szCs w:val="20"/>
                <w:u w:val="none"/>
                <w:lang w:val="en-US"/>
              </w:rPr>
            </w:pPr>
            <w:r>
              <w:rPr>
                <w:rFonts w:hint="eastAsia" w:cs="Times New Roman"/>
                <w:b/>
                <w:bCs/>
                <w:i w:val="0"/>
                <w:color w:val="000000"/>
                <w:sz w:val="20"/>
                <w:szCs w:val="20"/>
                <w:u w:val="none"/>
                <w:lang w:val="en-US" w:eastAsia="zh-CN"/>
              </w:rPr>
              <w:t>1093</w:t>
            </w:r>
          </w:p>
        </w:tc>
        <w:tc>
          <w:tcPr>
            <w:tcW w:w="9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10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bCs/>
                <w:i w:val="0"/>
                <w:color w:val="000000"/>
                <w:sz w:val="20"/>
                <w:szCs w:val="20"/>
                <w:u w:val="none"/>
                <w:lang w:val="en-US"/>
              </w:rPr>
            </w:pPr>
            <w:r>
              <w:rPr>
                <w:rFonts w:hint="eastAsia" w:cs="Times New Roman"/>
                <w:b/>
                <w:bCs/>
                <w:i w:val="0"/>
                <w:color w:val="000000"/>
                <w:sz w:val="20"/>
                <w:szCs w:val="20"/>
                <w:u w:val="none"/>
                <w:lang w:val="en-US" w:eastAsia="zh-CN"/>
              </w:rPr>
              <w:t>1093</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bCs/>
                <w:i w:val="0"/>
                <w:color w:val="000000"/>
                <w:sz w:val="20"/>
                <w:szCs w:val="20"/>
                <w:u w:val="none"/>
              </w:rPr>
            </w:pPr>
            <w:r>
              <w:rPr>
                <w:rFonts w:hint="eastAsia" w:cs="Times New Roman"/>
                <w:b/>
                <w:bCs/>
                <w:i w:val="0"/>
                <w:color w:val="000000"/>
                <w:sz w:val="20"/>
                <w:szCs w:val="20"/>
                <w:u w:val="none"/>
                <w:lang w:val="en-US" w:eastAsia="zh-CN"/>
              </w:rPr>
              <w:t>1405</w:t>
            </w:r>
          </w:p>
        </w:tc>
        <w:tc>
          <w:tcPr>
            <w:tcW w:w="89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96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bCs/>
                <w:i w:val="0"/>
                <w:color w:val="000000"/>
                <w:sz w:val="20"/>
                <w:szCs w:val="20"/>
                <w:u w:val="none"/>
              </w:rPr>
            </w:pPr>
            <w:r>
              <w:rPr>
                <w:rFonts w:hint="eastAsia" w:cs="Times New Roman"/>
                <w:b/>
                <w:bCs/>
                <w:i w:val="0"/>
                <w:color w:val="000000"/>
                <w:sz w:val="20"/>
                <w:szCs w:val="20"/>
                <w:u w:val="none"/>
                <w:lang w:val="en-US" w:eastAsia="zh-CN"/>
              </w:rPr>
              <w:t>1405</w:t>
            </w:r>
          </w:p>
        </w:tc>
        <w:tc>
          <w:tcPr>
            <w:tcW w:w="7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bCs/>
                <w:i w:val="0"/>
                <w:color w:val="000000"/>
                <w:sz w:val="20"/>
                <w:szCs w:val="20"/>
                <w:u w:val="none"/>
              </w:rPr>
            </w:pPr>
            <w:r>
              <w:rPr>
                <w:rFonts w:hint="eastAsia" w:cs="Times New Roman"/>
                <w:b/>
                <w:bCs/>
                <w:i w:val="0"/>
                <w:color w:val="000000"/>
                <w:sz w:val="20"/>
                <w:szCs w:val="20"/>
                <w:u w:val="none"/>
                <w:lang w:val="en-US" w:eastAsia="zh-CN"/>
              </w:rPr>
              <w:t>28.55</w:t>
            </w:r>
            <w:r>
              <w:rPr>
                <w:rFonts w:hint="default" w:ascii="Times New Roman" w:hAnsi="Times New Roman" w:cs="Times New Roman"/>
                <w:b/>
                <w:bCs/>
                <w:i w:val="0"/>
                <w:color w:val="000000"/>
                <w:sz w:val="20"/>
                <w:szCs w:val="20"/>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5" w:hRule="atLeast"/>
          <w:jc w:val="center"/>
        </w:trPr>
        <w:tc>
          <w:tcPr>
            <w:tcW w:w="1151" w:type="dxa"/>
            <w:tcBorders>
              <w:top w:val="single" w:color="auto" w:sz="4" w:space="0"/>
              <w:left w:val="nil"/>
              <w:bottom w:val="nil"/>
              <w:right w:val="nil"/>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p>
        </w:tc>
        <w:tc>
          <w:tcPr>
            <w:tcW w:w="2975" w:type="dxa"/>
            <w:tcBorders>
              <w:top w:val="single" w:color="auto" w:sz="4" w:space="0"/>
              <w:left w:val="nil"/>
              <w:bottom w:val="nil"/>
              <w:right w:val="nil"/>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656" w:type="dxa"/>
            <w:tcBorders>
              <w:top w:val="single" w:color="auto" w:sz="4" w:space="0"/>
              <w:left w:val="nil"/>
              <w:bottom w:val="nil"/>
              <w:right w:val="nil"/>
            </w:tcBorders>
            <w:noWrap w:val="0"/>
            <w:vAlign w:val="center"/>
          </w:tcPr>
          <w:p>
            <w:pPr>
              <w:jc w:val="center"/>
              <w:rPr>
                <w:rFonts w:hint="eastAsia" w:cs="Times New Roman"/>
                <w:b/>
                <w:bCs/>
                <w:i w:val="0"/>
                <w:color w:val="000000"/>
                <w:sz w:val="20"/>
                <w:szCs w:val="20"/>
                <w:u w:val="none"/>
                <w:lang w:val="en-US" w:eastAsia="zh-CN"/>
              </w:rPr>
            </w:pPr>
          </w:p>
        </w:tc>
        <w:tc>
          <w:tcPr>
            <w:tcW w:w="903" w:type="dxa"/>
            <w:tcBorders>
              <w:top w:val="single" w:color="auto" w:sz="4" w:space="0"/>
              <w:left w:val="nil"/>
              <w:bottom w:val="nil"/>
              <w:right w:val="nil"/>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1002" w:type="dxa"/>
            <w:tcBorders>
              <w:top w:val="single" w:color="auto" w:sz="4" w:space="0"/>
              <w:left w:val="nil"/>
              <w:bottom w:val="nil"/>
              <w:right w:val="nil"/>
            </w:tcBorders>
            <w:noWrap w:val="0"/>
            <w:vAlign w:val="center"/>
          </w:tcPr>
          <w:p>
            <w:pPr>
              <w:jc w:val="center"/>
              <w:rPr>
                <w:rFonts w:hint="eastAsia" w:cs="Times New Roman"/>
                <w:b/>
                <w:bCs/>
                <w:i w:val="0"/>
                <w:color w:val="000000"/>
                <w:sz w:val="20"/>
                <w:szCs w:val="20"/>
                <w:u w:val="none"/>
                <w:lang w:val="en-US" w:eastAsia="zh-CN"/>
              </w:rPr>
            </w:pPr>
          </w:p>
        </w:tc>
        <w:tc>
          <w:tcPr>
            <w:tcW w:w="1118" w:type="dxa"/>
            <w:tcBorders>
              <w:top w:val="single" w:color="auto" w:sz="4" w:space="0"/>
              <w:left w:val="nil"/>
              <w:bottom w:val="nil"/>
              <w:right w:val="nil"/>
            </w:tcBorders>
            <w:noWrap w:val="0"/>
            <w:vAlign w:val="center"/>
          </w:tcPr>
          <w:p>
            <w:pPr>
              <w:jc w:val="center"/>
              <w:rPr>
                <w:rFonts w:hint="eastAsia" w:cs="Times New Roman"/>
                <w:b/>
                <w:bCs/>
                <w:i w:val="0"/>
                <w:color w:val="000000"/>
                <w:sz w:val="20"/>
                <w:szCs w:val="20"/>
                <w:u w:val="none"/>
                <w:lang w:val="en-US" w:eastAsia="zh-CN"/>
              </w:rPr>
            </w:pPr>
          </w:p>
        </w:tc>
        <w:tc>
          <w:tcPr>
            <w:tcW w:w="894" w:type="dxa"/>
            <w:tcBorders>
              <w:top w:val="single" w:color="auto" w:sz="4" w:space="0"/>
              <w:left w:val="nil"/>
              <w:bottom w:val="nil"/>
              <w:right w:val="nil"/>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968" w:type="dxa"/>
            <w:tcBorders>
              <w:top w:val="single" w:color="auto" w:sz="4" w:space="0"/>
              <w:left w:val="nil"/>
              <w:bottom w:val="nil"/>
              <w:right w:val="nil"/>
            </w:tcBorders>
            <w:noWrap w:val="0"/>
            <w:vAlign w:val="center"/>
          </w:tcPr>
          <w:p>
            <w:pPr>
              <w:jc w:val="center"/>
              <w:rPr>
                <w:rFonts w:hint="eastAsia" w:cs="Times New Roman"/>
                <w:b/>
                <w:bCs/>
                <w:i w:val="0"/>
                <w:color w:val="000000"/>
                <w:sz w:val="20"/>
                <w:szCs w:val="20"/>
                <w:u w:val="none"/>
                <w:lang w:val="en-US" w:eastAsia="zh-CN"/>
              </w:rPr>
            </w:pPr>
          </w:p>
        </w:tc>
        <w:tc>
          <w:tcPr>
            <w:tcW w:w="788" w:type="dxa"/>
            <w:tcBorders>
              <w:top w:val="single" w:color="auto" w:sz="4" w:space="0"/>
              <w:left w:val="nil"/>
              <w:bottom w:val="nil"/>
              <w:right w:val="nil"/>
            </w:tcBorders>
            <w:noWrap w:val="0"/>
            <w:vAlign w:val="center"/>
          </w:tcPr>
          <w:p>
            <w:pPr>
              <w:jc w:val="center"/>
              <w:rPr>
                <w:rFonts w:hint="eastAsia" w:cs="Times New Roman"/>
                <w:b/>
                <w:bCs/>
                <w:i w:val="0"/>
                <w:color w:val="000000"/>
                <w:sz w:val="20"/>
                <w:szCs w:val="20"/>
                <w:u w:val="none"/>
                <w:lang w:val="en-US" w:eastAsia="zh-CN"/>
              </w:rPr>
            </w:pPr>
          </w:p>
        </w:tc>
      </w:tr>
    </w:tbl>
    <w:p>
      <w:pPr>
        <w:pStyle w:val="7"/>
        <w:rPr>
          <w:rFonts w:hint="default"/>
          <w:lang w:val="en-US" w:eastAsia="zh-Hans"/>
        </w:rPr>
      </w:pPr>
    </w:p>
    <w:p>
      <w:pPr>
        <w:pStyle w:val="7"/>
        <w:rPr>
          <w:rFonts w:hint="default"/>
          <w:lang w:val="en-US" w:eastAsia="zh-CN"/>
        </w:rPr>
      </w:pPr>
    </w:p>
    <w:p>
      <w:pPr>
        <w:pStyle w:val="7"/>
        <w:rPr>
          <w:rFonts w:hint="default"/>
          <w:lang w:val="en-US" w:eastAsia="zh-CN"/>
        </w:rPr>
      </w:pPr>
    </w:p>
    <w:p>
      <w:pPr>
        <w:pStyle w:val="7"/>
        <w:rPr>
          <w:rFonts w:hint="default"/>
          <w:lang w:val="en-US" w:eastAsia="zh-CN"/>
        </w:rPr>
      </w:pPr>
    </w:p>
    <w:tbl>
      <w:tblPr>
        <w:tblStyle w:val="8"/>
        <w:tblpPr w:leftFromText="180" w:rightFromText="180" w:vertAnchor="text" w:horzAnchor="page" w:tblpX="712" w:tblpY="-14455"/>
        <w:tblOverlap w:val="never"/>
        <w:tblW w:w="104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76"/>
        <w:gridCol w:w="1270"/>
        <w:gridCol w:w="517"/>
        <w:gridCol w:w="555"/>
        <w:gridCol w:w="485"/>
        <w:gridCol w:w="500"/>
        <w:gridCol w:w="435"/>
        <w:gridCol w:w="500"/>
        <w:gridCol w:w="468"/>
        <w:gridCol w:w="498"/>
        <w:gridCol w:w="501"/>
        <w:gridCol w:w="504"/>
        <w:gridCol w:w="543"/>
        <w:gridCol w:w="483"/>
        <w:gridCol w:w="455"/>
        <w:gridCol w:w="461"/>
        <w:gridCol w:w="445"/>
        <w:gridCol w:w="518"/>
        <w:gridCol w:w="5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6" w:hRule="atLeast"/>
          <w:jc w:val="center"/>
        </w:trPr>
        <w:tc>
          <w:tcPr>
            <w:tcW w:w="776" w:type="dxa"/>
            <w:noWrap w:val="0"/>
            <w:vAlign w:val="bottom"/>
          </w:tcPr>
          <w:p>
            <w:pPr>
              <w:pStyle w:val="2"/>
              <w:ind w:left="0" w:leftChars="0" w:firstLine="0" w:firstLineChars="0"/>
              <w:rPr>
                <w:rFonts w:hint="default" w:ascii="Times New Roman" w:hAnsi="Times New Roman" w:cs="Times New Roman"/>
                <w:lang w:val="en-US" w:eastAsia="zh-CN"/>
              </w:rPr>
            </w:pPr>
          </w:p>
          <w:p>
            <w:pPr>
              <w:pStyle w:val="2"/>
              <w:ind w:left="0" w:leftChars="0" w:firstLine="0" w:firstLineChars="0"/>
              <w:rPr>
                <w:rFonts w:hint="default" w:ascii="Times New Roman" w:hAnsi="Times New Roman" w:cs="Times New Roman"/>
              </w:rPr>
            </w:pPr>
            <w:r>
              <w:rPr>
                <w:rFonts w:hint="default" w:ascii="Times New Roman" w:hAnsi="Times New Roman" w:cs="Times New Roman"/>
                <w:lang w:val="en-US" w:eastAsia="zh-CN"/>
              </w:rPr>
              <w:t>表1</w:t>
            </w:r>
            <w:r>
              <w:rPr>
                <w:rFonts w:hint="default" w:ascii="Times New Roman" w:hAnsi="Times New Roman" w:cs="Times New Roman"/>
                <w:lang w:eastAsia="zh-CN"/>
              </w:rPr>
              <w:t>6</w:t>
            </w:r>
          </w:p>
        </w:tc>
        <w:tc>
          <w:tcPr>
            <w:tcW w:w="1270" w:type="dxa"/>
            <w:noWrap w:val="0"/>
            <w:vAlign w:val="center"/>
          </w:tcPr>
          <w:p>
            <w:pPr>
              <w:rPr>
                <w:rFonts w:hint="default" w:ascii="Times New Roman" w:hAnsi="Times New Roman" w:eastAsia="宋体" w:cs="Times New Roman"/>
                <w:i w:val="0"/>
                <w:color w:val="000000"/>
                <w:sz w:val="24"/>
                <w:szCs w:val="24"/>
                <w:u w:val="none"/>
              </w:rPr>
            </w:pPr>
          </w:p>
        </w:tc>
        <w:tc>
          <w:tcPr>
            <w:tcW w:w="517" w:type="dxa"/>
            <w:noWrap w:val="0"/>
            <w:vAlign w:val="center"/>
          </w:tcPr>
          <w:p>
            <w:pPr>
              <w:rPr>
                <w:rFonts w:hint="default" w:ascii="Times New Roman" w:hAnsi="Times New Roman" w:eastAsia="宋体" w:cs="Times New Roman"/>
                <w:i w:val="0"/>
                <w:color w:val="000000"/>
                <w:sz w:val="24"/>
                <w:szCs w:val="24"/>
                <w:u w:val="none"/>
              </w:rPr>
            </w:pPr>
          </w:p>
        </w:tc>
        <w:tc>
          <w:tcPr>
            <w:tcW w:w="555" w:type="dxa"/>
            <w:noWrap w:val="0"/>
            <w:vAlign w:val="center"/>
          </w:tcPr>
          <w:p>
            <w:pPr>
              <w:rPr>
                <w:rFonts w:hint="default" w:ascii="Times New Roman" w:hAnsi="Times New Roman" w:eastAsia="宋体" w:cs="Times New Roman"/>
                <w:i w:val="0"/>
                <w:color w:val="000000"/>
                <w:sz w:val="24"/>
                <w:szCs w:val="24"/>
                <w:u w:val="none"/>
              </w:rPr>
            </w:pPr>
          </w:p>
        </w:tc>
        <w:tc>
          <w:tcPr>
            <w:tcW w:w="485" w:type="dxa"/>
            <w:noWrap w:val="0"/>
            <w:vAlign w:val="center"/>
          </w:tcPr>
          <w:p>
            <w:pPr>
              <w:rPr>
                <w:rFonts w:hint="default" w:ascii="Times New Roman" w:hAnsi="Times New Roman" w:eastAsia="宋体" w:cs="Times New Roman"/>
                <w:i w:val="0"/>
                <w:color w:val="000000"/>
                <w:sz w:val="24"/>
                <w:szCs w:val="24"/>
                <w:u w:val="none"/>
              </w:rPr>
            </w:pPr>
          </w:p>
        </w:tc>
        <w:tc>
          <w:tcPr>
            <w:tcW w:w="500" w:type="dxa"/>
            <w:noWrap w:val="0"/>
            <w:vAlign w:val="center"/>
          </w:tcPr>
          <w:p>
            <w:pPr>
              <w:rPr>
                <w:rFonts w:hint="default" w:ascii="Times New Roman" w:hAnsi="Times New Roman" w:eastAsia="宋体" w:cs="Times New Roman"/>
                <w:i w:val="0"/>
                <w:color w:val="000000"/>
                <w:sz w:val="24"/>
                <w:szCs w:val="24"/>
                <w:u w:val="none"/>
              </w:rPr>
            </w:pPr>
          </w:p>
        </w:tc>
        <w:tc>
          <w:tcPr>
            <w:tcW w:w="435" w:type="dxa"/>
            <w:noWrap w:val="0"/>
            <w:vAlign w:val="center"/>
          </w:tcPr>
          <w:p>
            <w:pPr>
              <w:rPr>
                <w:rFonts w:hint="default" w:ascii="Times New Roman" w:hAnsi="Times New Roman" w:eastAsia="宋体" w:cs="Times New Roman"/>
                <w:i w:val="0"/>
                <w:color w:val="000000"/>
                <w:sz w:val="24"/>
                <w:szCs w:val="24"/>
                <w:u w:val="none"/>
              </w:rPr>
            </w:pPr>
          </w:p>
        </w:tc>
        <w:tc>
          <w:tcPr>
            <w:tcW w:w="500" w:type="dxa"/>
            <w:noWrap w:val="0"/>
            <w:vAlign w:val="center"/>
          </w:tcPr>
          <w:p>
            <w:pPr>
              <w:rPr>
                <w:rFonts w:hint="default" w:ascii="Times New Roman" w:hAnsi="Times New Roman" w:eastAsia="宋体" w:cs="Times New Roman"/>
                <w:i w:val="0"/>
                <w:color w:val="000000"/>
                <w:sz w:val="24"/>
                <w:szCs w:val="24"/>
                <w:u w:val="none"/>
              </w:rPr>
            </w:pPr>
          </w:p>
        </w:tc>
        <w:tc>
          <w:tcPr>
            <w:tcW w:w="468" w:type="dxa"/>
            <w:noWrap w:val="0"/>
            <w:vAlign w:val="center"/>
          </w:tcPr>
          <w:p>
            <w:pPr>
              <w:rPr>
                <w:rFonts w:hint="default" w:ascii="Times New Roman" w:hAnsi="Times New Roman" w:eastAsia="宋体" w:cs="Times New Roman"/>
                <w:i w:val="0"/>
                <w:color w:val="000000"/>
                <w:sz w:val="24"/>
                <w:szCs w:val="24"/>
                <w:u w:val="none"/>
              </w:rPr>
            </w:pPr>
          </w:p>
        </w:tc>
        <w:tc>
          <w:tcPr>
            <w:tcW w:w="498" w:type="dxa"/>
            <w:noWrap w:val="0"/>
            <w:vAlign w:val="center"/>
          </w:tcPr>
          <w:p>
            <w:pPr>
              <w:rPr>
                <w:rFonts w:hint="default" w:ascii="Times New Roman" w:hAnsi="Times New Roman" w:eastAsia="宋体" w:cs="Times New Roman"/>
                <w:i w:val="0"/>
                <w:color w:val="000000"/>
                <w:sz w:val="24"/>
                <w:szCs w:val="24"/>
                <w:u w:val="none"/>
              </w:rPr>
            </w:pPr>
          </w:p>
        </w:tc>
        <w:tc>
          <w:tcPr>
            <w:tcW w:w="501" w:type="dxa"/>
            <w:noWrap w:val="0"/>
            <w:vAlign w:val="center"/>
          </w:tcPr>
          <w:p>
            <w:pPr>
              <w:rPr>
                <w:rFonts w:hint="default" w:ascii="Times New Roman" w:hAnsi="Times New Roman" w:eastAsia="宋体" w:cs="Times New Roman"/>
                <w:i w:val="0"/>
                <w:color w:val="000000"/>
                <w:sz w:val="24"/>
                <w:szCs w:val="24"/>
                <w:u w:val="none"/>
              </w:rPr>
            </w:pPr>
          </w:p>
        </w:tc>
        <w:tc>
          <w:tcPr>
            <w:tcW w:w="504" w:type="dxa"/>
            <w:noWrap w:val="0"/>
            <w:vAlign w:val="center"/>
          </w:tcPr>
          <w:p>
            <w:pPr>
              <w:rPr>
                <w:rFonts w:hint="default" w:ascii="Times New Roman" w:hAnsi="Times New Roman" w:eastAsia="宋体" w:cs="Times New Roman"/>
                <w:i w:val="0"/>
                <w:color w:val="000000"/>
                <w:sz w:val="24"/>
                <w:szCs w:val="24"/>
                <w:u w:val="none"/>
              </w:rPr>
            </w:pPr>
          </w:p>
        </w:tc>
        <w:tc>
          <w:tcPr>
            <w:tcW w:w="543" w:type="dxa"/>
            <w:noWrap w:val="0"/>
            <w:vAlign w:val="center"/>
          </w:tcPr>
          <w:p>
            <w:pPr>
              <w:rPr>
                <w:rFonts w:hint="default" w:ascii="Times New Roman" w:hAnsi="Times New Roman" w:eastAsia="宋体" w:cs="Times New Roman"/>
                <w:i w:val="0"/>
                <w:color w:val="000000"/>
                <w:sz w:val="24"/>
                <w:szCs w:val="24"/>
                <w:u w:val="none"/>
              </w:rPr>
            </w:pPr>
          </w:p>
        </w:tc>
        <w:tc>
          <w:tcPr>
            <w:tcW w:w="483" w:type="dxa"/>
            <w:noWrap w:val="0"/>
            <w:vAlign w:val="center"/>
          </w:tcPr>
          <w:p>
            <w:pPr>
              <w:rPr>
                <w:rFonts w:hint="default" w:ascii="Times New Roman" w:hAnsi="Times New Roman" w:eastAsia="宋体" w:cs="Times New Roman"/>
                <w:i w:val="0"/>
                <w:color w:val="000000"/>
                <w:sz w:val="24"/>
                <w:szCs w:val="24"/>
                <w:u w:val="none"/>
              </w:rPr>
            </w:pPr>
          </w:p>
        </w:tc>
        <w:tc>
          <w:tcPr>
            <w:tcW w:w="455" w:type="dxa"/>
            <w:noWrap w:val="0"/>
            <w:vAlign w:val="center"/>
          </w:tcPr>
          <w:p>
            <w:pPr>
              <w:rPr>
                <w:rFonts w:hint="default" w:ascii="Times New Roman" w:hAnsi="Times New Roman" w:eastAsia="宋体" w:cs="Times New Roman"/>
                <w:i w:val="0"/>
                <w:color w:val="000000"/>
                <w:sz w:val="24"/>
                <w:szCs w:val="24"/>
                <w:u w:val="none"/>
              </w:rPr>
            </w:pPr>
          </w:p>
        </w:tc>
        <w:tc>
          <w:tcPr>
            <w:tcW w:w="461" w:type="dxa"/>
            <w:noWrap w:val="0"/>
            <w:vAlign w:val="center"/>
          </w:tcPr>
          <w:p>
            <w:pPr>
              <w:rPr>
                <w:rFonts w:hint="default" w:ascii="Times New Roman" w:hAnsi="Times New Roman" w:eastAsia="宋体" w:cs="Times New Roman"/>
                <w:i w:val="0"/>
                <w:color w:val="000000"/>
                <w:sz w:val="24"/>
                <w:szCs w:val="24"/>
                <w:u w:val="none"/>
              </w:rPr>
            </w:pPr>
          </w:p>
        </w:tc>
        <w:tc>
          <w:tcPr>
            <w:tcW w:w="445" w:type="dxa"/>
            <w:noWrap w:val="0"/>
            <w:vAlign w:val="center"/>
          </w:tcPr>
          <w:p>
            <w:pPr>
              <w:rPr>
                <w:rFonts w:hint="default" w:ascii="Times New Roman" w:hAnsi="Times New Roman" w:eastAsia="宋体" w:cs="Times New Roman"/>
                <w:i w:val="0"/>
                <w:color w:val="000000"/>
                <w:sz w:val="24"/>
                <w:szCs w:val="24"/>
                <w:u w:val="none"/>
              </w:rPr>
            </w:pPr>
          </w:p>
        </w:tc>
        <w:tc>
          <w:tcPr>
            <w:tcW w:w="518" w:type="dxa"/>
            <w:noWrap w:val="0"/>
            <w:vAlign w:val="center"/>
          </w:tcPr>
          <w:p>
            <w:pPr>
              <w:rPr>
                <w:rFonts w:hint="default" w:ascii="Times New Roman" w:hAnsi="Times New Roman" w:eastAsia="宋体" w:cs="Times New Roman"/>
                <w:i w:val="0"/>
                <w:color w:val="000000"/>
                <w:sz w:val="24"/>
                <w:szCs w:val="24"/>
                <w:u w:val="none"/>
              </w:rPr>
            </w:pPr>
          </w:p>
        </w:tc>
        <w:tc>
          <w:tcPr>
            <w:tcW w:w="578" w:type="dxa"/>
            <w:noWrap w:val="0"/>
            <w:vAlign w:val="center"/>
          </w:tcPr>
          <w:p>
            <w:pPr>
              <w:rPr>
                <w:rFonts w:hint="default" w:ascii="Times New Roman" w:hAnsi="Times New Roman" w:eastAsia="宋体"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8" w:hRule="atLeast"/>
          <w:jc w:val="center"/>
        </w:trPr>
        <w:tc>
          <w:tcPr>
            <w:tcW w:w="10492" w:type="dxa"/>
            <w:gridSpan w:val="19"/>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u w:val="none"/>
                <w:lang w:val="en-US" w:eastAsia="zh-CN" w:bidi="ar"/>
              </w:rPr>
            </w:pPr>
            <w:r>
              <w:rPr>
                <w:rFonts w:hint="default" w:ascii="Times New Roman" w:hAnsi="Times New Roman" w:eastAsia="宋体" w:cs="Times New Roman"/>
                <w:b/>
                <w:i w:val="0"/>
                <w:color w:val="000000"/>
                <w:kern w:val="0"/>
                <w:sz w:val="20"/>
                <w:szCs w:val="20"/>
                <w:u w:val="none"/>
                <w:lang w:val="en-US" w:eastAsia="zh-CN" w:bidi="ar"/>
              </w:rPr>
              <w:t>202</w:t>
            </w:r>
            <w:r>
              <w:rPr>
                <w:rFonts w:hint="eastAsia" w:cs="Times New Roman"/>
                <w:b/>
                <w:i w:val="0"/>
                <w:color w:val="000000"/>
                <w:kern w:val="0"/>
                <w:sz w:val="20"/>
                <w:szCs w:val="20"/>
                <w:u w:val="none"/>
                <w:lang w:val="en-US" w:eastAsia="zh-CN" w:bidi="ar"/>
              </w:rPr>
              <w:t>6</w:t>
            </w:r>
            <w:r>
              <w:rPr>
                <w:rFonts w:hint="default" w:ascii="Times New Roman" w:hAnsi="Times New Roman" w:eastAsia="宋体" w:cs="Times New Roman"/>
                <w:b/>
                <w:i w:val="0"/>
                <w:color w:val="000000"/>
                <w:kern w:val="0"/>
                <w:sz w:val="20"/>
                <w:szCs w:val="20"/>
                <w:u w:val="none"/>
                <w:lang w:val="en-US" w:eastAsia="zh-CN" w:bidi="ar"/>
              </w:rPr>
              <w:t>年</w:t>
            </w:r>
            <w:r>
              <w:rPr>
                <w:rFonts w:hint="default" w:ascii="Times New Roman" w:hAnsi="Times New Roman"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国有资本经营预算支出表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8" w:hRule="atLeast"/>
          <w:jc w:val="center"/>
        </w:trPr>
        <w:tc>
          <w:tcPr>
            <w:tcW w:w="776" w:type="dxa"/>
            <w:noWrap w:val="0"/>
            <w:vAlign w:val="center"/>
          </w:tcPr>
          <w:p>
            <w:pPr>
              <w:jc w:val="center"/>
              <w:rPr>
                <w:rFonts w:hint="default" w:ascii="Times New Roman" w:hAnsi="Times New Roman" w:eastAsia="宋体" w:cs="Times New Roman"/>
                <w:i w:val="0"/>
                <w:color w:val="000000"/>
                <w:sz w:val="20"/>
                <w:szCs w:val="20"/>
                <w:u w:val="none"/>
              </w:rPr>
            </w:pPr>
          </w:p>
        </w:tc>
        <w:tc>
          <w:tcPr>
            <w:tcW w:w="1270" w:type="dxa"/>
            <w:noWrap w:val="0"/>
            <w:vAlign w:val="center"/>
          </w:tcPr>
          <w:p>
            <w:pPr>
              <w:jc w:val="center"/>
              <w:rPr>
                <w:rFonts w:hint="default" w:ascii="Times New Roman" w:hAnsi="Times New Roman" w:eastAsia="宋体" w:cs="Times New Roman"/>
                <w:i w:val="0"/>
                <w:color w:val="000000"/>
                <w:sz w:val="20"/>
                <w:szCs w:val="20"/>
                <w:u w:val="none"/>
              </w:rPr>
            </w:pPr>
          </w:p>
        </w:tc>
        <w:tc>
          <w:tcPr>
            <w:tcW w:w="517" w:type="dxa"/>
            <w:noWrap w:val="0"/>
            <w:vAlign w:val="bottom"/>
          </w:tcPr>
          <w:p>
            <w:pPr>
              <w:rPr>
                <w:rFonts w:hint="default" w:ascii="Times New Roman" w:hAnsi="Times New Roman" w:eastAsia="宋体" w:cs="Times New Roman"/>
                <w:i w:val="0"/>
                <w:color w:val="000000"/>
                <w:sz w:val="20"/>
                <w:szCs w:val="20"/>
                <w:u w:val="none"/>
              </w:rPr>
            </w:pPr>
          </w:p>
        </w:tc>
        <w:tc>
          <w:tcPr>
            <w:tcW w:w="555" w:type="dxa"/>
            <w:noWrap w:val="0"/>
            <w:vAlign w:val="bottom"/>
          </w:tcPr>
          <w:p>
            <w:pPr>
              <w:rPr>
                <w:rFonts w:hint="default" w:ascii="Times New Roman" w:hAnsi="Times New Roman" w:eastAsia="宋体" w:cs="Times New Roman"/>
                <w:i w:val="0"/>
                <w:color w:val="000000"/>
                <w:sz w:val="20"/>
                <w:szCs w:val="20"/>
                <w:u w:val="none"/>
              </w:rPr>
            </w:pPr>
          </w:p>
        </w:tc>
        <w:tc>
          <w:tcPr>
            <w:tcW w:w="485" w:type="dxa"/>
            <w:noWrap w:val="0"/>
            <w:vAlign w:val="bottom"/>
          </w:tcPr>
          <w:p>
            <w:pPr>
              <w:rPr>
                <w:rFonts w:hint="default" w:ascii="Times New Roman" w:hAnsi="Times New Roman" w:eastAsia="宋体" w:cs="Times New Roman"/>
                <w:i w:val="0"/>
                <w:color w:val="000000"/>
                <w:sz w:val="20"/>
                <w:szCs w:val="20"/>
                <w:u w:val="none"/>
              </w:rPr>
            </w:pPr>
          </w:p>
        </w:tc>
        <w:tc>
          <w:tcPr>
            <w:tcW w:w="500" w:type="dxa"/>
            <w:noWrap w:val="0"/>
            <w:vAlign w:val="bottom"/>
          </w:tcPr>
          <w:p>
            <w:pPr>
              <w:rPr>
                <w:rFonts w:hint="default" w:ascii="Times New Roman" w:hAnsi="Times New Roman" w:eastAsia="宋体" w:cs="Times New Roman"/>
                <w:i w:val="0"/>
                <w:color w:val="000000"/>
                <w:sz w:val="20"/>
                <w:szCs w:val="20"/>
                <w:u w:val="none"/>
              </w:rPr>
            </w:pPr>
          </w:p>
        </w:tc>
        <w:tc>
          <w:tcPr>
            <w:tcW w:w="435" w:type="dxa"/>
            <w:noWrap w:val="0"/>
            <w:vAlign w:val="bottom"/>
          </w:tcPr>
          <w:p>
            <w:pPr>
              <w:rPr>
                <w:rFonts w:hint="default" w:ascii="Times New Roman" w:hAnsi="Times New Roman" w:eastAsia="宋体" w:cs="Times New Roman"/>
                <w:i w:val="0"/>
                <w:color w:val="000000"/>
                <w:sz w:val="20"/>
                <w:szCs w:val="20"/>
                <w:u w:val="none"/>
              </w:rPr>
            </w:pPr>
          </w:p>
        </w:tc>
        <w:tc>
          <w:tcPr>
            <w:tcW w:w="500" w:type="dxa"/>
            <w:noWrap w:val="0"/>
            <w:vAlign w:val="bottom"/>
          </w:tcPr>
          <w:p>
            <w:pPr>
              <w:rPr>
                <w:rFonts w:hint="default" w:ascii="Times New Roman" w:hAnsi="Times New Roman" w:eastAsia="宋体" w:cs="Times New Roman"/>
                <w:i w:val="0"/>
                <w:color w:val="000000"/>
                <w:sz w:val="20"/>
                <w:szCs w:val="20"/>
                <w:u w:val="none"/>
              </w:rPr>
            </w:pPr>
          </w:p>
        </w:tc>
        <w:tc>
          <w:tcPr>
            <w:tcW w:w="468" w:type="dxa"/>
            <w:noWrap w:val="0"/>
            <w:vAlign w:val="bottom"/>
          </w:tcPr>
          <w:p>
            <w:pPr>
              <w:rPr>
                <w:rFonts w:hint="default" w:ascii="Times New Roman" w:hAnsi="Times New Roman" w:eastAsia="宋体" w:cs="Times New Roman"/>
                <w:i w:val="0"/>
                <w:color w:val="000000"/>
                <w:sz w:val="20"/>
                <w:szCs w:val="20"/>
                <w:u w:val="none"/>
              </w:rPr>
            </w:pPr>
          </w:p>
        </w:tc>
        <w:tc>
          <w:tcPr>
            <w:tcW w:w="498" w:type="dxa"/>
            <w:noWrap w:val="0"/>
            <w:vAlign w:val="bottom"/>
          </w:tcPr>
          <w:p>
            <w:pPr>
              <w:rPr>
                <w:rFonts w:hint="default" w:ascii="Times New Roman" w:hAnsi="Times New Roman" w:eastAsia="宋体" w:cs="Times New Roman"/>
                <w:i w:val="0"/>
                <w:color w:val="000000"/>
                <w:sz w:val="20"/>
                <w:szCs w:val="20"/>
                <w:u w:val="none"/>
              </w:rPr>
            </w:pPr>
          </w:p>
        </w:tc>
        <w:tc>
          <w:tcPr>
            <w:tcW w:w="501" w:type="dxa"/>
            <w:noWrap w:val="0"/>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rPr>
            </w:pPr>
          </w:p>
        </w:tc>
        <w:tc>
          <w:tcPr>
            <w:tcW w:w="504"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543"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483"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455"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461"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445"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096"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9" w:hRule="atLeast"/>
          <w:jc w:val="center"/>
        </w:trPr>
        <w:tc>
          <w:tcPr>
            <w:tcW w:w="77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127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科目名称</w:t>
            </w:r>
          </w:p>
        </w:tc>
        <w:tc>
          <w:tcPr>
            <w:tcW w:w="4459"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年完成数</w:t>
            </w:r>
          </w:p>
        </w:tc>
        <w:tc>
          <w:tcPr>
            <w:tcW w:w="3987"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u w:val="none"/>
                <w:lang w:val="en-US" w:eastAsia="zh-CN" w:bidi="ar"/>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6</w:t>
            </w:r>
            <w:r>
              <w:rPr>
                <w:rFonts w:hint="default" w:ascii="Times New Roman" w:hAnsi="Times New Roman" w:eastAsia="宋体" w:cs="Times New Roman"/>
                <w:b/>
                <w:bCs/>
                <w:i w:val="0"/>
                <w:color w:val="000000"/>
                <w:kern w:val="0"/>
                <w:sz w:val="20"/>
                <w:szCs w:val="20"/>
                <w:u w:val="none"/>
                <w:lang w:val="en-US" w:eastAsia="zh-CN" w:bidi="ar"/>
              </w:rPr>
              <w:t>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jc w:val="center"/>
        </w:trPr>
        <w:tc>
          <w:tcPr>
            <w:tcW w:w="7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127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51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合计</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p>
        </w:tc>
        <w:tc>
          <w:tcPr>
            <w:tcW w:w="104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小计</w:t>
            </w:r>
          </w:p>
        </w:tc>
        <w:tc>
          <w:tcPr>
            <w:tcW w:w="93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资本性支出</w:t>
            </w:r>
          </w:p>
        </w:tc>
        <w:tc>
          <w:tcPr>
            <w:tcW w:w="9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 xml:space="preserve">费用性支出 </w:t>
            </w:r>
          </w:p>
        </w:tc>
        <w:tc>
          <w:tcPr>
            <w:tcW w:w="99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其他支出</w:t>
            </w:r>
          </w:p>
        </w:tc>
        <w:tc>
          <w:tcPr>
            <w:tcW w:w="104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小计</w:t>
            </w:r>
          </w:p>
        </w:tc>
        <w:tc>
          <w:tcPr>
            <w:tcW w:w="93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资本性支出</w:t>
            </w:r>
          </w:p>
        </w:tc>
        <w:tc>
          <w:tcPr>
            <w:tcW w:w="90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 xml:space="preserve">费用性支出 </w:t>
            </w:r>
          </w:p>
        </w:tc>
        <w:tc>
          <w:tcPr>
            <w:tcW w:w="10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74" w:hRule="atLeast"/>
          <w:jc w:val="center"/>
        </w:trPr>
        <w:tc>
          <w:tcPr>
            <w:tcW w:w="7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127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51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u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eastAsia" w:cs="Times New Roman"/>
                <w:b/>
                <w:bCs/>
                <w:i w:val="0"/>
                <w:color w:val="000000"/>
                <w:kern w:val="0"/>
                <w:sz w:val="20"/>
                <w:szCs w:val="20"/>
                <w:u w:val="none"/>
                <w:lang w:eastAsia="zh-CN" w:bidi="ar"/>
              </w:rPr>
              <w:t>喀什地区</w:t>
            </w:r>
            <w:r>
              <w:rPr>
                <w:rFonts w:hint="default" w:cs="Times New Roman"/>
                <w:b/>
                <w:bCs/>
                <w:i w:val="0"/>
                <w:color w:val="000000"/>
                <w:kern w:val="0"/>
                <w:sz w:val="20"/>
                <w:szCs w:val="20"/>
                <w:u w:val="none"/>
                <w:lang w:val="en-US" w:eastAsia="zh-CN" w:bidi="ar"/>
              </w:rPr>
              <w:t>本级</w:t>
            </w: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default" w:cs="Times New Roman"/>
                <w:b/>
                <w:bCs/>
                <w:i w:val="0"/>
                <w:color w:val="000000"/>
                <w:kern w:val="0"/>
                <w:sz w:val="20"/>
                <w:szCs w:val="20"/>
                <w:u w:val="none"/>
                <w:lang w:val="en-US" w:eastAsia="zh-CN" w:bidi="ar"/>
              </w:rPr>
              <w:t>泽普县级及以下</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eastAsia" w:cs="Times New Roman"/>
                <w:b/>
                <w:bCs/>
                <w:i w:val="0"/>
                <w:color w:val="000000"/>
                <w:kern w:val="0"/>
                <w:sz w:val="20"/>
                <w:szCs w:val="20"/>
                <w:u w:val="none"/>
                <w:lang w:eastAsia="zh-CN" w:bidi="ar"/>
              </w:rPr>
              <w:t>喀什地区</w:t>
            </w:r>
            <w:r>
              <w:rPr>
                <w:rFonts w:hint="default" w:cs="Times New Roman"/>
                <w:b/>
                <w:bCs/>
                <w:i w:val="0"/>
                <w:color w:val="000000"/>
                <w:kern w:val="0"/>
                <w:sz w:val="20"/>
                <w:szCs w:val="20"/>
                <w:u w:val="none"/>
                <w:lang w:val="en-US" w:eastAsia="zh-CN" w:bidi="ar"/>
              </w:rPr>
              <w:t>本级</w:t>
            </w: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default" w:cs="Times New Roman"/>
                <w:b/>
                <w:bCs/>
                <w:i w:val="0"/>
                <w:color w:val="000000"/>
                <w:kern w:val="0"/>
                <w:sz w:val="20"/>
                <w:szCs w:val="20"/>
                <w:u w:val="none"/>
                <w:lang w:val="en-US" w:eastAsia="zh-CN" w:bidi="ar"/>
              </w:rPr>
              <w:t>泽普县级及以下</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eastAsia" w:cs="Times New Roman"/>
                <w:b/>
                <w:bCs/>
                <w:i w:val="0"/>
                <w:color w:val="000000"/>
                <w:kern w:val="0"/>
                <w:sz w:val="20"/>
                <w:szCs w:val="20"/>
                <w:u w:val="none"/>
                <w:lang w:eastAsia="zh-CN" w:bidi="ar"/>
              </w:rPr>
              <w:t>喀什地区</w:t>
            </w:r>
            <w:r>
              <w:rPr>
                <w:rFonts w:hint="default" w:cs="Times New Roman"/>
                <w:b/>
                <w:bCs/>
                <w:i w:val="0"/>
                <w:color w:val="000000"/>
                <w:kern w:val="0"/>
                <w:sz w:val="20"/>
                <w:szCs w:val="20"/>
                <w:u w:val="none"/>
                <w:lang w:val="en-US" w:eastAsia="zh-CN" w:bidi="ar"/>
              </w:rPr>
              <w:t>本级</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default" w:cs="Times New Roman"/>
                <w:b/>
                <w:bCs/>
                <w:i w:val="0"/>
                <w:color w:val="000000"/>
                <w:kern w:val="0"/>
                <w:sz w:val="20"/>
                <w:szCs w:val="20"/>
                <w:u w:val="none"/>
                <w:lang w:val="en-US" w:eastAsia="zh-CN" w:bidi="ar"/>
              </w:rPr>
              <w:t>泽普县级及以下</w:t>
            </w: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eastAsia" w:cs="Times New Roman"/>
                <w:b/>
                <w:bCs/>
                <w:i w:val="0"/>
                <w:color w:val="000000"/>
                <w:kern w:val="0"/>
                <w:sz w:val="20"/>
                <w:szCs w:val="20"/>
                <w:u w:val="none"/>
                <w:lang w:eastAsia="zh-CN" w:bidi="ar"/>
              </w:rPr>
              <w:t>喀什地区</w:t>
            </w:r>
            <w:r>
              <w:rPr>
                <w:rFonts w:hint="default" w:cs="Times New Roman"/>
                <w:b/>
                <w:bCs/>
                <w:i w:val="0"/>
                <w:color w:val="000000"/>
                <w:kern w:val="0"/>
                <w:sz w:val="20"/>
                <w:szCs w:val="20"/>
                <w:u w:val="none"/>
                <w:lang w:val="en-US" w:eastAsia="zh-CN" w:bidi="ar"/>
              </w:rPr>
              <w:t>本级</w:t>
            </w: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default" w:cs="Times New Roman"/>
                <w:b/>
                <w:bCs/>
                <w:i w:val="0"/>
                <w:color w:val="000000"/>
                <w:kern w:val="0"/>
                <w:sz w:val="20"/>
                <w:szCs w:val="20"/>
                <w:u w:val="none"/>
                <w:lang w:val="en-US" w:eastAsia="zh-CN" w:bidi="ar"/>
              </w:rPr>
              <w:t>泽普县级及以下</w:t>
            </w: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eastAsia" w:cs="Times New Roman"/>
                <w:b/>
                <w:bCs/>
                <w:i w:val="0"/>
                <w:color w:val="000000"/>
                <w:kern w:val="0"/>
                <w:sz w:val="20"/>
                <w:szCs w:val="20"/>
                <w:u w:val="none"/>
                <w:lang w:eastAsia="zh-CN" w:bidi="ar"/>
              </w:rPr>
              <w:t>喀什地区</w:t>
            </w:r>
            <w:r>
              <w:rPr>
                <w:rFonts w:hint="default" w:cs="Times New Roman"/>
                <w:b/>
                <w:bCs/>
                <w:i w:val="0"/>
                <w:color w:val="000000"/>
                <w:kern w:val="0"/>
                <w:sz w:val="20"/>
                <w:szCs w:val="20"/>
                <w:u w:val="none"/>
                <w:lang w:val="en-US" w:eastAsia="zh-CN" w:bidi="ar"/>
              </w:rPr>
              <w:t>本级</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default" w:cs="Times New Roman"/>
                <w:b/>
                <w:bCs/>
                <w:i w:val="0"/>
                <w:color w:val="000000"/>
                <w:kern w:val="0"/>
                <w:sz w:val="20"/>
                <w:szCs w:val="20"/>
                <w:u w:val="none"/>
                <w:lang w:val="en-US" w:eastAsia="zh-CN" w:bidi="ar"/>
              </w:rPr>
              <w:t>泽普县级及以下</w:t>
            </w: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eastAsia" w:cs="Times New Roman"/>
                <w:b/>
                <w:bCs/>
                <w:i w:val="0"/>
                <w:color w:val="000000"/>
                <w:kern w:val="0"/>
                <w:sz w:val="20"/>
                <w:szCs w:val="20"/>
                <w:u w:val="none"/>
                <w:lang w:eastAsia="zh-CN" w:bidi="ar"/>
              </w:rPr>
              <w:t>喀什地区</w:t>
            </w:r>
            <w:r>
              <w:rPr>
                <w:rFonts w:hint="default" w:cs="Times New Roman"/>
                <w:b/>
                <w:bCs/>
                <w:i w:val="0"/>
                <w:color w:val="000000"/>
                <w:kern w:val="0"/>
                <w:sz w:val="20"/>
                <w:szCs w:val="20"/>
                <w:u w:val="none"/>
                <w:lang w:val="en-US" w:eastAsia="zh-CN" w:bidi="ar"/>
              </w:rPr>
              <w:t>本级</w:t>
            </w: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default" w:cs="Times New Roman"/>
                <w:b/>
                <w:bCs/>
                <w:i w:val="0"/>
                <w:color w:val="000000"/>
                <w:kern w:val="0"/>
                <w:sz w:val="20"/>
                <w:szCs w:val="20"/>
                <w:u w:val="none"/>
                <w:lang w:val="en-US" w:eastAsia="zh-CN" w:bidi="ar"/>
              </w:rPr>
              <w:t>泽普县级及以下</w:t>
            </w: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eastAsia" w:cs="Times New Roman"/>
                <w:b/>
                <w:bCs/>
                <w:i w:val="0"/>
                <w:color w:val="000000"/>
                <w:kern w:val="0"/>
                <w:sz w:val="20"/>
                <w:szCs w:val="20"/>
                <w:u w:val="none"/>
                <w:lang w:eastAsia="zh-CN" w:bidi="ar"/>
              </w:rPr>
              <w:t>喀什地区</w:t>
            </w:r>
            <w:r>
              <w:rPr>
                <w:rFonts w:hint="default" w:cs="Times New Roman"/>
                <w:b/>
                <w:bCs/>
                <w:i w:val="0"/>
                <w:color w:val="000000"/>
                <w:kern w:val="0"/>
                <w:sz w:val="20"/>
                <w:szCs w:val="20"/>
                <w:u w:val="none"/>
                <w:lang w:val="en-US" w:eastAsia="zh-CN" w:bidi="ar"/>
              </w:rPr>
              <w:t>本级</w:t>
            </w: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default" w:cs="Times New Roman"/>
                <w:b/>
                <w:bCs/>
                <w:i w:val="0"/>
                <w:color w:val="000000"/>
                <w:kern w:val="0"/>
                <w:sz w:val="20"/>
                <w:szCs w:val="20"/>
                <w:u w:val="none"/>
                <w:lang w:val="en-US" w:eastAsia="zh-CN" w:bidi="ar"/>
              </w:rPr>
              <w:t>泽普县级及以下</w:t>
            </w: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eastAsia" w:cs="Times New Roman"/>
                <w:b/>
                <w:bCs/>
                <w:i w:val="0"/>
                <w:color w:val="000000"/>
                <w:kern w:val="0"/>
                <w:sz w:val="20"/>
                <w:szCs w:val="20"/>
                <w:u w:val="none"/>
                <w:lang w:eastAsia="zh-CN" w:bidi="ar"/>
              </w:rPr>
              <w:t>喀什地区</w:t>
            </w:r>
            <w:r>
              <w:rPr>
                <w:rFonts w:hint="default" w:cs="Times New Roman"/>
                <w:b/>
                <w:bCs/>
                <w:i w:val="0"/>
                <w:color w:val="000000"/>
                <w:kern w:val="0"/>
                <w:sz w:val="20"/>
                <w:szCs w:val="20"/>
                <w:u w:val="none"/>
                <w:lang w:val="en-US" w:eastAsia="zh-CN" w:bidi="ar"/>
              </w:rPr>
              <w:t>本级</w:t>
            </w: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cs="Times New Roman"/>
                <w:b/>
                <w:bCs/>
                <w:i w:val="0"/>
                <w:color w:val="000000"/>
                <w:kern w:val="0"/>
                <w:sz w:val="20"/>
                <w:szCs w:val="20"/>
                <w:u w:val="none"/>
                <w:lang w:val="en-US" w:eastAsia="zh-CN" w:bidi="ar"/>
              </w:rPr>
            </w:pPr>
            <w:r>
              <w:rPr>
                <w:rFonts w:hint="default" w:cs="Times New Roman"/>
                <w:b/>
                <w:bCs/>
                <w:i w:val="0"/>
                <w:color w:val="000000"/>
                <w:kern w:val="0"/>
                <w:sz w:val="20"/>
                <w:szCs w:val="20"/>
                <w:u w:val="none"/>
                <w:lang w:val="en-US" w:eastAsia="zh-CN" w:bidi="ar"/>
              </w:rPr>
              <w:t>泽普县级及以下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56" w:hRule="atLeast"/>
          <w:jc w:val="center"/>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223</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国有资本经营预算支出 </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57" w:hRule="atLeast"/>
          <w:jc w:val="center"/>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22301</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解决历史遗留问题及改革成本支出</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07" w:hRule="atLeast"/>
          <w:jc w:val="center"/>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2230105</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国有企业退休人员社会化管理补助支出</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cs="Times New Roman"/>
                <w:i w:val="0"/>
                <w:color w:val="000000"/>
                <w:kern w:val="2"/>
                <w:sz w:val="20"/>
                <w:szCs w:val="20"/>
                <w:u w:val="none"/>
                <w:lang w:val="en-US" w:eastAsia="zh-CN" w:bidi="ar-SA"/>
              </w:rPr>
              <w:t>5</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kern w:val="2"/>
                <w:sz w:val="20"/>
                <w:szCs w:val="20"/>
                <w:u w:val="none"/>
                <w:lang w:val="en-US" w:eastAsia="zh-CN" w:bidi="ar-SA"/>
              </w:rPr>
              <w:t>5</w:t>
            </w: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kern w:val="2"/>
                <w:sz w:val="20"/>
                <w:szCs w:val="20"/>
                <w:u w:val="none"/>
                <w:lang w:val="en-US" w:eastAsia="zh-CN" w:bidi="ar-SA"/>
              </w:rPr>
              <w:t>5</w:t>
            </w: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kern w:val="2"/>
                <w:sz w:val="20"/>
                <w:szCs w:val="20"/>
                <w:u w:val="none"/>
                <w:lang w:val="en-US" w:eastAsia="zh-CN" w:bidi="ar-SA"/>
              </w:rPr>
              <w:t>5</w:t>
            </w: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kern w:val="2"/>
                <w:sz w:val="20"/>
                <w:szCs w:val="20"/>
                <w:u w:val="none"/>
                <w:lang w:val="en-US" w:eastAsia="zh-CN" w:bidi="ar-SA"/>
              </w:rPr>
              <w:t>5</w:t>
            </w: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56" w:hRule="atLeast"/>
          <w:jc w:val="center"/>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2230106</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国有企业棚户区改造支出</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6" w:hRule="atLeast"/>
          <w:jc w:val="center"/>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22302</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国有企业资本金注入</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6" w:hRule="atLeast"/>
          <w:jc w:val="center"/>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2230208</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金融企业资本性支出</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16" w:hRule="atLeast"/>
          <w:jc w:val="center"/>
        </w:trPr>
        <w:tc>
          <w:tcPr>
            <w:tcW w:w="776"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2230299</w:t>
            </w:r>
          </w:p>
        </w:tc>
        <w:tc>
          <w:tcPr>
            <w:tcW w:w="127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其他国有企业资本金注入</w:t>
            </w:r>
          </w:p>
        </w:tc>
        <w:tc>
          <w:tcPr>
            <w:tcW w:w="51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2"/>
                <w:sz w:val="20"/>
                <w:szCs w:val="20"/>
                <w:u w:val="none"/>
                <w:lang w:val="en-US" w:eastAsia="zh-CN" w:bidi="ar-SA"/>
              </w:rPr>
            </w:pPr>
            <w:r>
              <w:rPr>
                <w:rFonts w:hint="eastAsia" w:ascii="Times New Roman" w:hAnsi="Times New Roman" w:eastAsia="等线" w:cs="Times New Roman"/>
                <w:i w:val="0"/>
                <w:color w:val="000000"/>
                <w:kern w:val="0"/>
                <w:sz w:val="22"/>
                <w:szCs w:val="22"/>
                <w:u w:val="none"/>
                <w:lang w:val="en-US" w:eastAsia="zh-CN" w:bidi="ar"/>
              </w:rPr>
              <w:t>500</w:t>
            </w:r>
            <w:r>
              <w:rPr>
                <w:rFonts w:hint="default" w:ascii="Times New Roman" w:hAnsi="Times New Roman" w:eastAsia="等线" w:cs="Times New Roman"/>
                <w:i w:val="0"/>
                <w:color w:val="000000"/>
                <w:kern w:val="0"/>
                <w:sz w:val="22"/>
                <w:szCs w:val="22"/>
                <w:u w:val="none"/>
                <w:lang w:val="en-US" w:eastAsia="zh-CN" w:bidi="ar"/>
              </w:rPr>
              <w:t xml:space="preserve"> </w:t>
            </w:r>
          </w:p>
        </w:tc>
        <w:tc>
          <w:tcPr>
            <w:tcW w:w="555"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 </w:t>
            </w:r>
          </w:p>
        </w:tc>
        <w:tc>
          <w:tcPr>
            <w:tcW w:w="485"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kern w:val="2"/>
                <w:sz w:val="20"/>
                <w:szCs w:val="20"/>
                <w:u w:val="none"/>
                <w:lang w:val="en-US" w:eastAsia="zh-CN" w:bidi="ar-SA"/>
              </w:rPr>
              <w:t>500</w:t>
            </w:r>
          </w:p>
        </w:tc>
        <w:tc>
          <w:tcPr>
            <w:tcW w:w="500" w:type="dxa"/>
            <w:tcBorders>
              <w:top w:val="single" w:color="000000" w:sz="4" w:space="0"/>
              <w:bottom w:val="single" w:color="auto"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2"/>
                <w:sz w:val="20"/>
                <w:szCs w:val="20"/>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 </w:t>
            </w:r>
          </w:p>
        </w:tc>
        <w:tc>
          <w:tcPr>
            <w:tcW w:w="435" w:type="dxa"/>
            <w:tcBorders>
              <w:top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kern w:val="2"/>
                <w:sz w:val="20"/>
                <w:szCs w:val="20"/>
                <w:u w:val="none"/>
                <w:lang w:val="en-US" w:eastAsia="zh-CN" w:bidi="ar-SA"/>
              </w:rPr>
              <w:t>500</w:t>
            </w:r>
          </w:p>
        </w:tc>
        <w:tc>
          <w:tcPr>
            <w:tcW w:w="500" w:type="dxa"/>
            <w:tcBorders>
              <w:top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kern w:val="2"/>
                <w:sz w:val="20"/>
                <w:szCs w:val="20"/>
                <w:u w:val="none"/>
                <w:lang w:val="en-US" w:eastAsia="zh-CN" w:bidi="ar-SA"/>
              </w:rPr>
              <w:t>1000</w:t>
            </w:r>
          </w:p>
        </w:tc>
        <w:tc>
          <w:tcPr>
            <w:tcW w:w="483" w:type="dxa"/>
            <w:tcBorders>
              <w:top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bottom w:val="single" w:color="auto"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kern w:val="2"/>
                <w:sz w:val="20"/>
                <w:szCs w:val="20"/>
                <w:u w:val="none"/>
                <w:lang w:val="en-US" w:eastAsia="zh-CN" w:bidi="ar-SA"/>
              </w:rPr>
              <w:t>1000</w:t>
            </w:r>
          </w:p>
        </w:tc>
        <w:tc>
          <w:tcPr>
            <w:tcW w:w="461" w:type="dxa"/>
            <w:tcBorders>
              <w:top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bottom w:val="single" w:color="auto"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6" w:hRule="atLeast"/>
          <w:jc w:val="center"/>
        </w:trPr>
        <w:tc>
          <w:tcPr>
            <w:tcW w:w="7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22303</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国有企业政策性补贴</w:t>
            </w:r>
          </w:p>
        </w:tc>
        <w:tc>
          <w:tcPr>
            <w:tcW w:w="5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6" w:hRule="atLeast"/>
          <w:jc w:val="center"/>
        </w:trPr>
        <w:tc>
          <w:tcPr>
            <w:tcW w:w="7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2230301</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国有企业政策性补贴</w:t>
            </w:r>
          </w:p>
        </w:tc>
        <w:tc>
          <w:tcPr>
            <w:tcW w:w="5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6" w:hRule="atLeast"/>
          <w:jc w:val="center"/>
        </w:trPr>
        <w:tc>
          <w:tcPr>
            <w:tcW w:w="77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22399</w:t>
            </w:r>
          </w:p>
        </w:tc>
        <w:tc>
          <w:tcPr>
            <w:tcW w:w="127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其他国有资本经营预算支出</w:t>
            </w:r>
          </w:p>
        </w:tc>
        <w:tc>
          <w:tcPr>
            <w:tcW w:w="517" w:type="dxa"/>
            <w:tcBorders>
              <w:top w:val="single" w:color="auto"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55" w:type="dxa"/>
            <w:tcBorders>
              <w:top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auto"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1" w:hRule="atLeast"/>
          <w:jc w:val="center"/>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2239999</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其他国有资本经营预算支出</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3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4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83"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5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1" w:hRule="atLeast"/>
          <w:jc w:val="center"/>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cs="Times New Roman"/>
                <w:i w:val="0"/>
                <w:color w:val="000000"/>
                <w:sz w:val="20"/>
                <w:szCs w:val="20"/>
                <w:u w:val="none"/>
                <w:lang w:val="en-US" w:eastAsia="zh-CN"/>
              </w:rPr>
              <w:t>2300803</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国有资本经营预算调</w:t>
            </w:r>
            <w:r>
              <w:rPr>
                <w:rFonts w:hint="eastAsia" w:cs="Times New Roman"/>
                <w:i w:val="0"/>
                <w:color w:val="000000"/>
                <w:kern w:val="0"/>
                <w:sz w:val="20"/>
                <w:szCs w:val="20"/>
                <w:u w:val="none"/>
                <w:lang w:val="en-US" w:eastAsia="zh-CN" w:bidi="ar"/>
              </w:rPr>
              <w:t>出</w:t>
            </w:r>
            <w:r>
              <w:rPr>
                <w:rFonts w:hint="default" w:ascii="Times New Roman" w:hAnsi="Times New Roman" w:cs="Times New Roman"/>
                <w:i w:val="0"/>
                <w:color w:val="000000"/>
                <w:kern w:val="0"/>
                <w:sz w:val="20"/>
                <w:szCs w:val="20"/>
                <w:u w:val="none"/>
                <w:lang w:val="en-US" w:eastAsia="zh-CN" w:bidi="ar"/>
              </w:rPr>
              <w:t>资金</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kern w:val="2"/>
                <w:sz w:val="20"/>
                <w:szCs w:val="20"/>
                <w:u w:val="none"/>
                <w:lang w:val="en-US" w:eastAsia="zh-CN" w:bidi="ar-SA"/>
              </w:rPr>
              <w:t>388</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u w:val="none"/>
                <w:lang w:val="en-US" w:eastAsia="zh-CN"/>
              </w:rPr>
            </w:pP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kern w:val="2"/>
                <w:sz w:val="20"/>
                <w:szCs w:val="20"/>
                <w:u w:val="none"/>
                <w:lang w:val="en-US" w:eastAsia="zh-CN" w:bidi="ar-SA"/>
              </w:rPr>
            </w:pP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kern w:val="2"/>
                <w:sz w:val="20"/>
                <w:szCs w:val="20"/>
                <w:u w:val="none"/>
                <w:lang w:val="en-US" w:eastAsia="zh-CN" w:bidi="ar-SA"/>
              </w:rPr>
              <w:t>400</w:t>
            </w: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kern w:val="2"/>
                <w:sz w:val="20"/>
                <w:szCs w:val="20"/>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1" w:hRule="atLeast"/>
          <w:jc w:val="center"/>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cs="Times New Roman"/>
                <w:i w:val="0"/>
                <w:color w:val="000000"/>
                <w:sz w:val="20"/>
                <w:szCs w:val="20"/>
                <w:u w:val="none"/>
                <w:lang w:val="en-US" w:eastAsia="zh-CN"/>
              </w:rPr>
            </w:pPr>
            <w:r>
              <w:rPr>
                <w:rFonts w:hint="eastAsia" w:cs="Times New Roman"/>
                <w:i w:val="0"/>
                <w:color w:val="000000"/>
                <w:sz w:val="20"/>
                <w:szCs w:val="20"/>
                <w:u w:val="none"/>
                <w:lang w:val="en-US" w:eastAsia="zh-CN"/>
              </w:rPr>
              <w:t>2300918</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u w:val="none"/>
                <w:lang w:val="en-US" w:eastAsia="zh-CN" w:bidi="ar"/>
              </w:rPr>
            </w:pPr>
            <w:r>
              <w:rPr>
                <w:rFonts w:hint="eastAsia" w:cs="Times New Roman"/>
                <w:i w:val="0"/>
                <w:color w:val="000000"/>
                <w:kern w:val="0"/>
                <w:sz w:val="20"/>
                <w:szCs w:val="20"/>
                <w:u w:val="none"/>
                <w:lang w:val="en-US" w:eastAsia="zh-CN" w:bidi="ar"/>
              </w:rPr>
              <w:t>国有资本经营预算年终结余</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cs="Times New Roman"/>
                <w:i w:val="0"/>
                <w:color w:val="000000"/>
                <w:kern w:val="2"/>
                <w:sz w:val="20"/>
                <w:szCs w:val="20"/>
                <w:u w:val="none"/>
                <w:lang w:val="en-US" w:eastAsia="zh-CN" w:bidi="ar-SA"/>
              </w:rPr>
            </w:pPr>
            <w:r>
              <w:rPr>
                <w:rFonts w:hint="eastAsia" w:cs="Times New Roman"/>
                <w:i w:val="0"/>
                <w:color w:val="000000"/>
                <w:kern w:val="2"/>
                <w:sz w:val="20"/>
                <w:szCs w:val="20"/>
                <w:u w:val="none"/>
                <w:lang w:val="en-US" w:eastAsia="zh-CN" w:bidi="ar-SA"/>
              </w:rPr>
              <w:t>200</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u w:val="none"/>
                <w:lang w:val="en-US" w:eastAsia="zh-CN"/>
              </w:rPr>
            </w:pP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u w:val="none"/>
                <w:lang w:val="en-US" w:eastAsia="zh-CN" w:bidi="ar-SA"/>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kern w:val="2"/>
                <w:sz w:val="20"/>
                <w:szCs w:val="20"/>
                <w:u w:val="none"/>
                <w:lang w:val="en-US" w:eastAsia="zh-CN" w:bidi="ar-SA"/>
              </w:rPr>
            </w:pP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cs="Times New Roman"/>
                <w:i w:val="0"/>
                <w:color w:val="000000"/>
                <w:kern w:val="2"/>
                <w:sz w:val="20"/>
                <w:szCs w:val="20"/>
                <w:u w:val="none"/>
                <w:lang w:val="en-US" w:eastAsia="zh-CN" w:bidi="ar-SA"/>
              </w:rPr>
            </w:pP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kern w:val="2"/>
                <w:sz w:val="20"/>
                <w:szCs w:val="20"/>
                <w:u w:val="none"/>
                <w:lang w:val="en-US" w:eastAsia="zh-CN" w:bidi="ar-SA"/>
              </w:rPr>
            </w:pP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56" w:hRule="atLeast"/>
          <w:jc w:val="center"/>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cs="Times New Roman"/>
                <w:i w:val="0"/>
                <w:color w:val="000000"/>
                <w:sz w:val="20"/>
                <w:szCs w:val="20"/>
                <w:u w:val="none"/>
                <w:lang w:val="en-US" w:eastAsia="zh-CN"/>
              </w:rPr>
            </w:pP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r>
              <w:rPr>
                <w:rFonts w:hint="eastAsia" w:ascii="Times New Roman" w:hAnsi="Times New Roman" w:cs="Times New Roman"/>
                <w:b/>
                <w:bCs/>
                <w:i w:val="0"/>
                <w:iCs w:val="0"/>
                <w:color w:val="000000"/>
                <w:kern w:val="0"/>
                <w:sz w:val="20"/>
                <w:szCs w:val="20"/>
                <w:u w:val="none"/>
                <w:lang w:val="en-US" w:eastAsia="zh-CN" w:bidi="ar"/>
              </w:rPr>
              <w:t>支出合计</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r>
              <w:rPr>
                <w:rFonts w:hint="eastAsia" w:ascii="Times New Roman" w:hAnsi="Times New Roman" w:cs="Times New Roman"/>
                <w:b/>
                <w:bCs/>
                <w:i w:val="0"/>
                <w:iCs w:val="0"/>
                <w:color w:val="000000"/>
                <w:kern w:val="0"/>
                <w:sz w:val="20"/>
                <w:szCs w:val="20"/>
                <w:u w:val="none"/>
                <w:lang w:val="en-US" w:eastAsia="zh-CN" w:bidi="ar"/>
              </w:rPr>
              <w:t>1093</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5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5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r>
              <w:rPr>
                <w:rFonts w:hint="eastAsia" w:ascii="Times New Roman" w:hAnsi="Times New Roman" w:cs="Times New Roman"/>
                <w:b/>
                <w:bCs/>
                <w:i w:val="0"/>
                <w:iCs w:val="0"/>
                <w:color w:val="000000"/>
                <w:kern w:val="0"/>
                <w:sz w:val="20"/>
                <w:szCs w:val="20"/>
                <w:u w:val="none"/>
                <w:lang w:val="en-US" w:eastAsia="zh-CN" w:bidi="ar"/>
              </w:rPr>
              <w:t>1405</w:t>
            </w:r>
          </w:p>
        </w:tc>
        <w:tc>
          <w:tcPr>
            <w:tcW w:w="4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4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5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c>
          <w:tcPr>
            <w:tcW w:w="5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bottom"/>
              <w:rPr>
                <w:rFonts w:hint="default" w:ascii="Times New Roman" w:hAnsi="Times New Roman" w:cs="Times New Roman"/>
                <w:b/>
                <w:bCs/>
                <w:i w:val="0"/>
                <w:iCs w:val="0"/>
                <w:color w:val="000000"/>
                <w:kern w:val="0"/>
                <w:sz w:val="20"/>
                <w:szCs w:val="20"/>
                <w:u w:val="none"/>
                <w:lang w:val="en-US" w:eastAsia="zh-CN" w:bidi="ar"/>
              </w:rPr>
            </w:pPr>
          </w:p>
        </w:tc>
      </w:tr>
    </w:tbl>
    <w:p>
      <w:pPr>
        <w:pStyle w:val="7"/>
        <w:rPr>
          <w:rFonts w:hint="default"/>
          <w:lang w:val="en-US" w:eastAsia="zh-CN"/>
        </w:rPr>
      </w:pPr>
    </w:p>
    <w:p>
      <w:pPr>
        <w:pStyle w:val="7"/>
        <w:rPr>
          <w:rFonts w:hint="default"/>
          <w:lang w:val="en-US" w:eastAsia="zh-CN"/>
        </w:rPr>
      </w:pPr>
    </w:p>
    <w:p>
      <w:pPr>
        <w:pStyle w:val="7"/>
        <w:rPr>
          <w:rFonts w:hint="default"/>
          <w:lang w:val="en-US" w:eastAsia="zh-CN"/>
        </w:rPr>
      </w:pPr>
    </w:p>
    <w:tbl>
      <w:tblPr>
        <w:tblStyle w:val="8"/>
        <w:tblpPr w:leftFromText="180" w:rightFromText="180" w:vertAnchor="text" w:horzAnchor="page" w:tblpX="1237" w:tblpY="71"/>
        <w:tblOverlap w:val="never"/>
        <w:tblW w:w="93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746"/>
        <w:gridCol w:w="904"/>
        <w:gridCol w:w="421"/>
        <w:gridCol w:w="1325"/>
        <w:gridCol w:w="2047"/>
        <w:gridCol w:w="884"/>
        <w:gridCol w:w="582"/>
        <w:gridCol w:w="1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46" w:type="dxa"/>
            <w:noWrap w:val="0"/>
            <w:vAlign w:val="bottom"/>
          </w:tcPr>
          <w:p>
            <w:pPr>
              <w:keepNext w:val="0"/>
              <w:keepLines w:val="0"/>
              <w:widowControl/>
              <w:suppressLineNumbers w:val="0"/>
              <w:jc w:val="left"/>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17</w:t>
            </w:r>
          </w:p>
        </w:tc>
        <w:tc>
          <w:tcPr>
            <w:tcW w:w="904" w:type="dxa"/>
            <w:noWrap w:val="0"/>
            <w:vAlign w:val="bottom"/>
          </w:tcPr>
          <w:p>
            <w:pPr>
              <w:rPr>
                <w:rFonts w:hint="default" w:ascii="Times New Roman" w:hAnsi="Times New Roman" w:cs="Times New Roman"/>
                <w:i w:val="0"/>
                <w:color w:val="000000"/>
                <w:sz w:val="20"/>
                <w:szCs w:val="20"/>
                <w:highlight w:val="none"/>
                <w:u w:val="none"/>
              </w:rPr>
            </w:pPr>
          </w:p>
        </w:tc>
        <w:tc>
          <w:tcPr>
            <w:tcW w:w="1746" w:type="dxa"/>
            <w:gridSpan w:val="2"/>
            <w:noWrap w:val="0"/>
            <w:vAlign w:val="bottom"/>
          </w:tcPr>
          <w:p>
            <w:pPr>
              <w:rPr>
                <w:rFonts w:hint="default" w:ascii="Times New Roman" w:hAnsi="Times New Roman" w:cs="Times New Roman"/>
                <w:i w:val="0"/>
                <w:color w:val="000000"/>
                <w:sz w:val="20"/>
                <w:szCs w:val="20"/>
                <w:highlight w:val="none"/>
                <w:u w:val="none"/>
              </w:rPr>
            </w:pPr>
          </w:p>
        </w:tc>
        <w:tc>
          <w:tcPr>
            <w:tcW w:w="2047" w:type="dxa"/>
            <w:noWrap w:val="0"/>
            <w:vAlign w:val="bottom"/>
          </w:tcPr>
          <w:p>
            <w:pPr>
              <w:rPr>
                <w:rFonts w:hint="default" w:ascii="Times New Roman" w:hAnsi="Times New Roman" w:cs="Times New Roman"/>
                <w:i w:val="0"/>
                <w:color w:val="000000"/>
                <w:sz w:val="20"/>
                <w:szCs w:val="20"/>
                <w:highlight w:val="none"/>
                <w:u w:val="none"/>
              </w:rPr>
            </w:pPr>
          </w:p>
        </w:tc>
        <w:tc>
          <w:tcPr>
            <w:tcW w:w="884" w:type="dxa"/>
            <w:noWrap w:val="0"/>
            <w:vAlign w:val="bottom"/>
          </w:tcPr>
          <w:p>
            <w:pPr>
              <w:rPr>
                <w:rFonts w:hint="default" w:ascii="Times New Roman" w:hAnsi="Times New Roman" w:cs="Times New Roman"/>
                <w:i w:val="0"/>
                <w:color w:val="000000"/>
                <w:sz w:val="20"/>
                <w:szCs w:val="20"/>
                <w:highlight w:val="none"/>
                <w:u w:val="none"/>
              </w:rPr>
            </w:pPr>
          </w:p>
        </w:tc>
        <w:tc>
          <w:tcPr>
            <w:tcW w:w="2048" w:type="dxa"/>
            <w:gridSpan w:val="2"/>
            <w:noWrap w:val="0"/>
            <w:vAlign w:val="bottom"/>
          </w:tcPr>
          <w:p>
            <w:pPr>
              <w:rPr>
                <w:rFonts w:hint="default" w:ascii="Times New Roman" w:hAnsi="Times New Roman"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9375" w:type="dxa"/>
            <w:gridSpan w:val="8"/>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eastAsia"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本级国有资本经营预算收支总表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1746"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04"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46" w:type="dxa"/>
            <w:gridSpan w:val="2"/>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47"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84"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48" w:type="dxa"/>
            <w:gridSpan w:val="2"/>
            <w:tcBorders>
              <w:bottom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439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          入</w:t>
            </w:r>
          </w:p>
        </w:tc>
        <w:tc>
          <w:tcPr>
            <w:tcW w:w="497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325" w:type="dxa"/>
            <w:gridSpan w:val="2"/>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1325"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c>
          <w:tcPr>
            <w:tcW w:w="20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466" w:type="dxa"/>
            <w:gridSpan w:val="2"/>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1466"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一、利润收入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1088</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1200</w:t>
            </w:r>
          </w:p>
        </w:tc>
        <w:tc>
          <w:tcPr>
            <w:tcW w:w="20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一、解决历史遗留问题及改革成本支出</w:t>
            </w:r>
          </w:p>
        </w:tc>
        <w:tc>
          <w:tcPr>
            <w:tcW w:w="146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二、股息</w:t>
            </w:r>
            <w:r>
              <w:rPr>
                <w:rFonts w:hint="eastAsia" w:cs="Times New Roman"/>
                <w:i w:val="0"/>
                <w:color w:val="000000"/>
                <w:kern w:val="0"/>
                <w:sz w:val="20"/>
                <w:szCs w:val="20"/>
                <w:highlight w:val="none"/>
                <w:u w:val="none"/>
                <w:lang w:val="en-US" w:eastAsia="zh-CN" w:bidi="ar"/>
              </w:rPr>
              <w:t>红利</w:t>
            </w:r>
            <w:r>
              <w:rPr>
                <w:rFonts w:hint="default" w:ascii="Times New Roman" w:hAnsi="Times New Roman" w:eastAsia="宋体" w:cs="Times New Roman"/>
                <w:i w:val="0"/>
                <w:color w:val="000000"/>
                <w:kern w:val="0"/>
                <w:sz w:val="20"/>
                <w:szCs w:val="20"/>
                <w:highlight w:val="none"/>
                <w:u w:val="none"/>
                <w:lang w:val="en-US" w:eastAsia="zh-CN" w:bidi="ar"/>
              </w:rPr>
              <w:t>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二、国有企业资本金注入</w:t>
            </w:r>
          </w:p>
        </w:tc>
        <w:tc>
          <w:tcPr>
            <w:tcW w:w="146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500</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三、产权转让收入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三、国有企业</w:t>
            </w:r>
            <w:r>
              <w:rPr>
                <w:rFonts w:hint="eastAsia" w:cs="Times New Roman"/>
                <w:i w:val="0"/>
                <w:color w:val="000000"/>
                <w:kern w:val="0"/>
                <w:sz w:val="20"/>
                <w:szCs w:val="20"/>
                <w:highlight w:val="none"/>
                <w:u w:val="none"/>
                <w:lang w:val="en-US" w:eastAsia="zh-CN" w:bidi="ar"/>
              </w:rPr>
              <w:t>公益</w:t>
            </w:r>
            <w:r>
              <w:rPr>
                <w:rFonts w:hint="default" w:ascii="Times New Roman" w:hAnsi="Times New Roman" w:eastAsia="宋体" w:cs="Times New Roman"/>
                <w:i w:val="0"/>
                <w:color w:val="000000"/>
                <w:kern w:val="0"/>
                <w:sz w:val="20"/>
                <w:szCs w:val="20"/>
                <w:highlight w:val="none"/>
                <w:u w:val="none"/>
                <w:lang w:val="en-US" w:eastAsia="zh-CN" w:bidi="ar"/>
              </w:rPr>
              <w:t>性补贴</w:t>
            </w:r>
          </w:p>
        </w:tc>
        <w:tc>
          <w:tcPr>
            <w:tcW w:w="146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四、清算收入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kern w:val="0"/>
                <w:sz w:val="20"/>
                <w:szCs w:val="20"/>
                <w:highlight w:val="none"/>
                <w:u w:val="none"/>
                <w:lang w:val="en-US" w:eastAsia="zh-CN" w:bidi="ar"/>
              </w:rPr>
              <w:t>四</w:t>
            </w:r>
            <w:r>
              <w:rPr>
                <w:rFonts w:hint="default" w:ascii="Times New Roman" w:hAnsi="Times New Roman" w:eastAsia="宋体" w:cs="Times New Roman"/>
                <w:i w:val="0"/>
                <w:color w:val="000000"/>
                <w:kern w:val="0"/>
                <w:sz w:val="20"/>
                <w:szCs w:val="20"/>
                <w:highlight w:val="none"/>
                <w:u w:val="none"/>
                <w:lang w:val="en-US" w:eastAsia="zh-CN" w:bidi="ar"/>
              </w:rPr>
              <w:t>、其他国有资本经营预算支出</w:t>
            </w:r>
          </w:p>
        </w:tc>
        <w:tc>
          <w:tcPr>
            <w:tcW w:w="146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五、其他国有资本经营预算收入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46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4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6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收入合计</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cs="Times New Roman"/>
                <w:b/>
                <w:i w:val="0"/>
                <w:color w:val="000000"/>
                <w:sz w:val="20"/>
                <w:szCs w:val="20"/>
                <w:highlight w:val="none"/>
                <w:u w:val="none"/>
                <w:lang w:val="en-US" w:eastAsia="zh-CN"/>
              </w:rPr>
              <w:t>1088</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cs="Times New Roman"/>
                <w:b/>
                <w:i w:val="0"/>
                <w:color w:val="000000"/>
                <w:sz w:val="20"/>
                <w:szCs w:val="20"/>
                <w:highlight w:val="none"/>
                <w:u w:val="none"/>
                <w:lang w:val="en-US" w:eastAsia="zh-CN"/>
              </w:rPr>
              <w:t>1200</w:t>
            </w:r>
          </w:p>
        </w:tc>
        <w:tc>
          <w:tcPr>
            <w:tcW w:w="20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支出合计</w:t>
            </w:r>
          </w:p>
        </w:tc>
        <w:tc>
          <w:tcPr>
            <w:tcW w:w="146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cs="Times New Roman"/>
                <w:b/>
                <w:i w:val="0"/>
                <w:color w:val="000000"/>
                <w:sz w:val="20"/>
                <w:szCs w:val="20"/>
                <w:highlight w:val="none"/>
                <w:u w:val="none"/>
                <w:lang w:val="en-US" w:eastAsia="zh-CN"/>
              </w:rPr>
              <w:t>505</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b/>
                <w:i w:val="0"/>
                <w:color w:val="000000"/>
                <w:sz w:val="20"/>
                <w:szCs w:val="20"/>
                <w:highlight w:val="none"/>
                <w:u w:val="none"/>
                <w:lang w:val="en-US" w:eastAsia="zh-CN"/>
              </w:rPr>
            </w:pPr>
            <w:r>
              <w:rPr>
                <w:rFonts w:hint="eastAsia" w:cs="Times New Roman"/>
                <w:b/>
                <w:i w:val="0"/>
                <w:color w:val="000000"/>
                <w:sz w:val="20"/>
                <w:szCs w:val="20"/>
                <w:highlight w:val="none"/>
                <w:u w:val="none"/>
                <w:lang w:val="en-US" w:eastAsia="zh-CN"/>
              </w:rPr>
              <w:t>1005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w:t>
            </w:r>
          </w:p>
        </w:tc>
        <w:tc>
          <w:tcPr>
            <w:tcW w:w="20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国有资本经营预算转移支付支出</w:t>
            </w:r>
          </w:p>
        </w:tc>
        <w:tc>
          <w:tcPr>
            <w:tcW w:w="146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国有资本经营预算上年结转收入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200</w:t>
            </w:r>
          </w:p>
        </w:tc>
        <w:tc>
          <w:tcPr>
            <w:tcW w:w="20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国有资本经营预算调出资金</w:t>
            </w:r>
          </w:p>
        </w:tc>
        <w:tc>
          <w:tcPr>
            <w:tcW w:w="146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388</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20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国有资本经营预算年终结余</w:t>
            </w:r>
          </w:p>
        </w:tc>
        <w:tc>
          <w:tcPr>
            <w:tcW w:w="146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200</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收入总计</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cs="Times New Roman"/>
                <w:b/>
                <w:i w:val="0"/>
                <w:color w:val="000000"/>
                <w:sz w:val="20"/>
                <w:szCs w:val="20"/>
                <w:highlight w:val="none"/>
                <w:u w:val="none"/>
                <w:lang w:val="en-US" w:eastAsia="zh-CN"/>
              </w:rPr>
              <w:t>1093</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cs="Times New Roman"/>
                <w:b/>
                <w:i w:val="0"/>
                <w:color w:val="000000"/>
                <w:sz w:val="20"/>
                <w:szCs w:val="20"/>
                <w:highlight w:val="none"/>
                <w:u w:val="none"/>
                <w:lang w:val="en-US" w:eastAsia="zh-CN"/>
              </w:rPr>
              <w:t>1405</w:t>
            </w:r>
          </w:p>
        </w:tc>
        <w:tc>
          <w:tcPr>
            <w:tcW w:w="20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支出总计</w:t>
            </w:r>
          </w:p>
        </w:tc>
        <w:tc>
          <w:tcPr>
            <w:tcW w:w="146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cs="Times New Roman"/>
                <w:b/>
                <w:i w:val="0"/>
                <w:color w:val="000000"/>
                <w:sz w:val="20"/>
                <w:szCs w:val="20"/>
                <w:highlight w:val="none"/>
                <w:u w:val="none"/>
                <w:lang w:val="en-US" w:eastAsia="zh-CN"/>
              </w:rPr>
              <w:t>1093</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cs="Times New Roman"/>
                <w:b/>
                <w:i w:val="0"/>
                <w:color w:val="000000"/>
                <w:sz w:val="20"/>
                <w:szCs w:val="20"/>
                <w:highlight w:val="none"/>
                <w:u w:val="none"/>
                <w:lang w:val="en-US" w:eastAsia="zh-CN"/>
              </w:rPr>
              <w:t>1405</w:t>
            </w:r>
          </w:p>
        </w:tc>
      </w:tr>
    </w:tbl>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pStyle w:val="2"/>
        <w:ind w:left="0" w:leftChars="0" w:firstLine="0" w:firstLineChars="0"/>
        <w:rPr>
          <w:rFonts w:hint="default"/>
        </w:rPr>
      </w:pPr>
    </w:p>
    <w:tbl>
      <w:tblPr>
        <w:tblStyle w:val="8"/>
        <w:tblW w:w="93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6"/>
        <w:gridCol w:w="2969"/>
        <w:gridCol w:w="1827"/>
        <w:gridCol w:w="920"/>
        <w:gridCol w:w="1075"/>
        <w:gridCol w:w="14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116" w:type="dxa"/>
            <w:tcBorders>
              <w:top w:val="nil"/>
              <w:left w:val="nil"/>
              <w:bottom w:val="nil"/>
              <w:right w:val="nil"/>
            </w:tcBorders>
            <w:shd w:val="clear" w:color="auto" w:fill="auto"/>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表18</w:t>
            </w:r>
          </w:p>
        </w:tc>
        <w:tc>
          <w:tcPr>
            <w:tcW w:w="2969"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2747" w:type="dxa"/>
            <w:gridSpan w:val="2"/>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075"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c>
          <w:tcPr>
            <w:tcW w:w="1471" w:type="dxa"/>
            <w:tcBorders>
              <w:top w:val="nil"/>
              <w:left w:val="nil"/>
              <w:bottom w:val="nil"/>
              <w:right w:val="nil"/>
            </w:tcBorders>
            <w:shd w:val="clear" w:color="auto" w:fill="auto"/>
            <w:vAlign w:val="bottom"/>
          </w:tcPr>
          <w:p>
            <w:pPr>
              <w:jc w:val="both"/>
              <w:rPr>
                <w:rFonts w:hint="default" w:ascii="Times New Roman" w:hAnsi="Times New Roman" w:eastAsia="宋体"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9378"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w:t>
            </w:r>
            <w:r>
              <w:rPr>
                <w:rStyle w:val="25"/>
                <w:lang w:val="en-US" w:eastAsia="zh-CN" w:bidi="ar"/>
              </w:rPr>
              <w:t>年泽普县本级国有资本经营预算收入表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116"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2969"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2747" w:type="dxa"/>
            <w:gridSpan w:val="2"/>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075" w:type="dxa"/>
            <w:tcBorders>
              <w:top w:val="nil"/>
              <w:left w:val="nil"/>
              <w:bottom w:val="single" w:color="000000"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471" w:type="dxa"/>
            <w:tcBorders>
              <w:top w:val="nil"/>
              <w:left w:val="nil"/>
              <w:bottom w:val="single" w:color="000000" w:sz="8" w:space="0"/>
              <w:right w:val="nil"/>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w:t>
            </w:r>
            <w:r>
              <w:rPr>
                <w:rFonts w:hint="eastAsia" w:ascii="宋体" w:hAnsi="宋体" w:eastAsia="宋体" w:cs="宋体"/>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11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2969"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科目名称／企业</w:t>
            </w:r>
          </w:p>
        </w:tc>
        <w:tc>
          <w:tcPr>
            <w:tcW w:w="1827"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2025年完成数</w:t>
            </w:r>
          </w:p>
        </w:tc>
        <w:tc>
          <w:tcPr>
            <w:tcW w:w="1995" w:type="dxa"/>
            <w:gridSpan w:val="2"/>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2026年预算数</w:t>
            </w:r>
          </w:p>
        </w:tc>
        <w:tc>
          <w:tcPr>
            <w:tcW w:w="1471"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预算数为上年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111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2969"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1827"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1995" w:type="dxa"/>
            <w:gridSpan w:val="2"/>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1471"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完成数的%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1030601</w:t>
            </w:r>
          </w:p>
        </w:tc>
        <w:tc>
          <w:tcPr>
            <w:tcW w:w="296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一、利润收入</w:t>
            </w:r>
          </w:p>
        </w:tc>
        <w:tc>
          <w:tcPr>
            <w:tcW w:w="1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1093</w:t>
            </w:r>
          </w:p>
        </w:tc>
        <w:tc>
          <w:tcPr>
            <w:tcW w:w="199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1405</w:t>
            </w:r>
          </w:p>
        </w:tc>
        <w:tc>
          <w:tcPr>
            <w:tcW w:w="147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103060198</w:t>
            </w:r>
          </w:p>
        </w:tc>
        <w:tc>
          <w:tcPr>
            <w:tcW w:w="2969"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ind w:firstLineChars="10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其他国有资本经营预算企业利润收入</w:t>
            </w:r>
          </w:p>
        </w:tc>
        <w:tc>
          <w:tcPr>
            <w:tcW w:w="1827" w:type="dxa"/>
            <w:tcBorders>
              <w:top w:val="nil"/>
              <w:left w:val="nil"/>
              <w:bottom w:val="single" w:color="auto" w:sz="4"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995" w:type="dxa"/>
            <w:gridSpan w:val="2"/>
            <w:tcBorders>
              <w:top w:val="nil"/>
              <w:left w:val="nil"/>
              <w:bottom w:val="single" w:color="auto" w:sz="4"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471" w:type="dxa"/>
            <w:tcBorders>
              <w:top w:val="nil"/>
              <w:left w:val="nil"/>
              <w:bottom w:val="single" w:color="auto" w:sz="4"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single" w:color="auto" w:sz="4" w:space="0"/>
              <w:left w:val="single" w:color="auto" w:sz="4"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1030602</w:t>
            </w:r>
          </w:p>
        </w:tc>
        <w:tc>
          <w:tcPr>
            <w:tcW w:w="2969"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二、股利、股息收入</w:t>
            </w:r>
          </w:p>
        </w:tc>
        <w:tc>
          <w:tcPr>
            <w:tcW w:w="1827" w:type="dxa"/>
            <w:tcBorders>
              <w:top w:val="single" w:color="auto" w:sz="4" w:space="0"/>
              <w:left w:val="nil"/>
              <w:bottom w:val="single" w:color="auto" w:sz="4"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995" w:type="dxa"/>
            <w:gridSpan w:val="2"/>
            <w:tcBorders>
              <w:top w:val="single" w:color="auto" w:sz="4" w:space="0"/>
              <w:left w:val="nil"/>
              <w:bottom w:val="single" w:color="auto" w:sz="4"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471" w:type="dxa"/>
            <w:tcBorders>
              <w:top w:val="single" w:color="auto" w:sz="4" w:space="0"/>
              <w:left w:val="nil"/>
              <w:bottom w:val="single" w:color="auto" w:sz="4" w:space="0"/>
              <w:right w:val="single" w:color="auto" w:sz="4"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103060202</w:t>
            </w:r>
          </w:p>
        </w:tc>
        <w:tc>
          <w:tcPr>
            <w:tcW w:w="2969"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ind w:firstLineChars="10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国有控股公司股利、股息收入</w:t>
            </w:r>
          </w:p>
        </w:tc>
        <w:tc>
          <w:tcPr>
            <w:tcW w:w="1827" w:type="dxa"/>
            <w:tcBorders>
              <w:top w:val="single" w:color="auto" w:sz="4" w:space="0"/>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995" w:type="dxa"/>
            <w:gridSpan w:val="2"/>
            <w:tcBorders>
              <w:top w:val="single" w:color="auto" w:sz="4" w:space="0"/>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471" w:type="dxa"/>
            <w:tcBorders>
              <w:top w:val="single" w:color="auto" w:sz="4" w:space="0"/>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103060203</w:t>
            </w:r>
          </w:p>
        </w:tc>
        <w:tc>
          <w:tcPr>
            <w:tcW w:w="296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10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国有参股公司股利、股息收入</w:t>
            </w:r>
          </w:p>
        </w:tc>
        <w:tc>
          <w:tcPr>
            <w:tcW w:w="1827" w:type="dxa"/>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995" w:type="dxa"/>
            <w:gridSpan w:val="2"/>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471"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1030603</w:t>
            </w:r>
          </w:p>
        </w:tc>
        <w:tc>
          <w:tcPr>
            <w:tcW w:w="296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三、产权转让收入</w:t>
            </w:r>
          </w:p>
        </w:tc>
        <w:tc>
          <w:tcPr>
            <w:tcW w:w="1827" w:type="dxa"/>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995" w:type="dxa"/>
            <w:gridSpan w:val="2"/>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471"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103060304</w:t>
            </w:r>
          </w:p>
        </w:tc>
        <w:tc>
          <w:tcPr>
            <w:tcW w:w="296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10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国有股权、股份转让收入</w:t>
            </w:r>
          </w:p>
        </w:tc>
        <w:tc>
          <w:tcPr>
            <w:tcW w:w="1827" w:type="dxa"/>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995" w:type="dxa"/>
            <w:gridSpan w:val="2"/>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471"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103060305</w:t>
            </w:r>
          </w:p>
        </w:tc>
        <w:tc>
          <w:tcPr>
            <w:tcW w:w="296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10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国有独资企业产权转让收入</w:t>
            </w:r>
          </w:p>
        </w:tc>
        <w:tc>
          <w:tcPr>
            <w:tcW w:w="1827" w:type="dxa"/>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995" w:type="dxa"/>
            <w:gridSpan w:val="2"/>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471"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1030604</w:t>
            </w:r>
          </w:p>
        </w:tc>
        <w:tc>
          <w:tcPr>
            <w:tcW w:w="296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四、清算收入</w:t>
            </w:r>
          </w:p>
        </w:tc>
        <w:tc>
          <w:tcPr>
            <w:tcW w:w="1827" w:type="dxa"/>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995" w:type="dxa"/>
            <w:gridSpan w:val="2"/>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471"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103060401</w:t>
            </w:r>
          </w:p>
        </w:tc>
        <w:tc>
          <w:tcPr>
            <w:tcW w:w="296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10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国有股权、股份清算收入</w:t>
            </w:r>
          </w:p>
        </w:tc>
        <w:tc>
          <w:tcPr>
            <w:tcW w:w="1827" w:type="dxa"/>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995" w:type="dxa"/>
            <w:gridSpan w:val="2"/>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471"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103060402</w:t>
            </w:r>
          </w:p>
        </w:tc>
        <w:tc>
          <w:tcPr>
            <w:tcW w:w="296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ind w:firstLineChars="10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国有独资企业清算收入</w:t>
            </w:r>
          </w:p>
        </w:tc>
        <w:tc>
          <w:tcPr>
            <w:tcW w:w="1827" w:type="dxa"/>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995" w:type="dxa"/>
            <w:gridSpan w:val="2"/>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471"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1030699</w:t>
            </w:r>
          </w:p>
        </w:tc>
        <w:tc>
          <w:tcPr>
            <w:tcW w:w="296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五、其他国有资本经营预算收入</w:t>
            </w:r>
          </w:p>
        </w:tc>
        <w:tc>
          <w:tcPr>
            <w:tcW w:w="1827" w:type="dxa"/>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995" w:type="dxa"/>
            <w:gridSpan w:val="2"/>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471"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1100501</w:t>
            </w:r>
          </w:p>
        </w:tc>
        <w:tc>
          <w:tcPr>
            <w:tcW w:w="296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国有资本经营预算转移支付收入</w:t>
            </w:r>
          </w:p>
        </w:tc>
        <w:tc>
          <w:tcPr>
            <w:tcW w:w="1827" w:type="dxa"/>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995" w:type="dxa"/>
            <w:gridSpan w:val="2"/>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471"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11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1100804</w:t>
            </w:r>
          </w:p>
        </w:tc>
        <w:tc>
          <w:tcPr>
            <w:tcW w:w="296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国有资本经营预算上年结余收入</w:t>
            </w:r>
          </w:p>
        </w:tc>
        <w:tc>
          <w:tcPr>
            <w:tcW w:w="1827" w:type="dxa"/>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995" w:type="dxa"/>
            <w:gridSpan w:val="2"/>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i w:val="0"/>
                <w:iCs w:val="0"/>
                <w:color w:val="000000"/>
                <w:sz w:val="20"/>
                <w:szCs w:val="20"/>
                <w:u w:val="none"/>
              </w:rPr>
            </w:pPr>
          </w:p>
        </w:tc>
        <w:tc>
          <w:tcPr>
            <w:tcW w:w="1471"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085"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w:t>
            </w:r>
            <w:r>
              <w:rPr>
                <w:rFonts w:hint="default" w:ascii="Times New Roman" w:hAnsi="Times New Roman" w:eastAsia="宋体" w:cs="Times New Roman"/>
                <w:b/>
                <w:bCs/>
                <w:i w:val="0"/>
                <w:iCs w:val="0"/>
                <w:color w:val="000000"/>
                <w:kern w:val="0"/>
                <w:sz w:val="20"/>
                <w:szCs w:val="20"/>
                <w:u w:val="none"/>
                <w:lang w:val="en-US" w:eastAsia="zh-CN" w:bidi="ar"/>
              </w:rPr>
              <w:t xml:space="preserve">    </w:t>
            </w:r>
            <w:r>
              <w:rPr>
                <w:rStyle w:val="25"/>
                <w:lang w:val="en-US" w:eastAsia="zh-CN" w:bidi="ar"/>
              </w:rPr>
              <w:t>计</w:t>
            </w:r>
          </w:p>
        </w:tc>
        <w:tc>
          <w:tcPr>
            <w:tcW w:w="182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1093</w:t>
            </w:r>
          </w:p>
        </w:tc>
        <w:tc>
          <w:tcPr>
            <w:tcW w:w="1995"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1405</w:t>
            </w:r>
          </w:p>
        </w:tc>
        <w:tc>
          <w:tcPr>
            <w:tcW w:w="147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28.55%</w:t>
            </w:r>
          </w:p>
        </w:tc>
      </w:tr>
    </w:tbl>
    <w:p>
      <w:pPr>
        <w:rPr>
          <w:rFonts w:hint="default"/>
        </w:rPr>
      </w:pPr>
    </w:p>
    <w:p>
      <w:pPr>
        <w:pStyle w:val="2"/>
        <w:rPr>
          <w:rFonts w:hint="default"/>
        </w:rPr>
      </w:pPr>
    </w:p>
    <w:p>
      <w:pPr>
        <w:rPr>
          <w:rFonts w:hint="default"/>
        </w:rPr>
      </w:pPr>
    </w:p>
    <w:p>
      <w:pPr>
        <w:pStyle w:val="2"/>
        <w:rPr>
          <w:rFonts w:hint="default"/>
        </w:rPr>
      </w:pPr>
    </w:p>
    <w:p>
      <w:pPr>
        <w:rPr>
          <w:rFonts w:hint="default"/>
        </w:rPr>
      </w:pPr>
    </w:p>
    <w:p>
      <w:pPr>
        <w:rPr>
          <w:rFonts w:hint="default"/>
        </w:rPr>
      </w:pPr>
    </w:p>
    <w:p>
      <w:pPr>
        <w:pStyle w:val="2"/>
        <w:rPr>
          <w:rFonts w:hint="default"/>
        </w:rPr>
      </w:pPr>
    </w:p>
    <w:p>
      <w:pPr>
        <w:rPr>
          <w:rFonts w:hint="default"/>
        </w:rPr>
      </w:pPr>
    </w:p>
    <w:tbl>
      <w:tblPr>
        <w:tblStyle w:val="8"/>
        <w:tblW w:w="97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8"/>
        <w:gridCol w:w="1102"/>
        <w:gridCol w:w="795"/>
        <w:gridCol w:w="840"/>
        <w:gridCol w:w="855"/>
        <w:gridCol w:w="735"/>
        <w:gridCol w:w="900"/>
        <w:gridCol w:w="840"/>
        <w:gridCol w:w="863"/>
        <w:gridCol w:w="652"/>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58"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default" w:ascii="Times New Roman" w:hAnsi="Times New Roman" w:eastAsia="宋体" w:cs="Times New Roman"/>
                <w:i w:val="0"/>
                <w:color w:val="000000"/>
                <w:kern w:val="0"/>
                <w:sz w:val="20"/>
                <w:szCs w:val="20"/>
                <w:highlight w:val="none"/>
                <w:u w:val="none"/>
                <w:lang w:val="en-US" w:eastAsia="zh-CN" w:bidi="ar"/>
              </w:rPr>
              <w:t>表1</w:t>
            </w:r>
            <w:r>
              <w:rPr>
                <w:rFonts w:hint="default" w:ascii="Times New Roman" w:hAnsi="Times New Roman" w:cs="Times New Roman"/>
                <w:i w:val="0"/>
                <w:color w:val="000000"/>
                <w:kern w:val="0"/>
                <w:sz w:val="20"/>
                <w:szCs w:val="20"/>
                <w:highlight w:val="none"/>
                <w:u w:val="none"/>
                <w:lang w:eastAsia="zh-CN" w:bidi="ar"/>
              </w:rPr>
              <w:t>9</w:t>
            </w:r>
          </w:p>
        </w:tc>
        <w:tc>
          <w:tcPr>
            <w:tcW w:w="1102"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4"/>
                <w:szCs w:val="24"/>
                <w:u w:val="none"/>
              </w:rPr>
            </w:pPr>
          </w:p>
        </w:tc>
        <w:tc>
          <w:tcPr>
            <w:tcW w:w="795"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4"/>
                <w:szCs w:val="24"/>
                <w:u w:val="none"/>
              </w:rPr>
            </w:pPr>
          </w:p>
        </w:tc>
        <w:tc>
          <w:tcPr>
            <w:tcW w:w="84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4"/>
                <w:szCs w:val="24"/>
                <w:u w:val="none"/>
              </w:rPr>
            </w:pPr>
          </w:p>
        </w:tc>
        <w:tc>
          <w:tcPr>
            <w:tcW w:w="855"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4"/>
                <w:szCs w:val="24"/>
                <w:u w:val="none"/>
              </w:rPr>
            </w:pPr>
          </w:p>
        </w:tc>
        <w:tc>
          <w:tcPr>
            <w:tcW w:w="735"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4"/>
                <w:szCs w:val="24"/>
                <w:u w:val="none"/>
              </w:rPr>
            </w:pPr>
          </w:p>
        </w:tc>
        <w:tc>
          <w:tcPr>
            <w:tcW w:w="90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4"/>
                <w:szCs w:val="24"/>
                <w:u w:val="none"/>
              </w:rPr>
            </w:pPr>
          </w:p>
        </w:tc>
        <w:tc>
          <w:tcPr>
            <w:tcW w:w="84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4"/>
                <w:szCs w:val="24"/>
                <w:u w:val="none"/>
              </w:rPr>
            </w:pPr>
          </w:p>
        </w:tc>
        <w:tc>
          <w:tcPr>
            <w:tcW w:w="863"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4"/>
                <w:szCs w:val="24"/>
                <w:u w:val="none"/>
              </w:rPr>
            </w:pPr>
          </w:p>
        </w:tc>
        <w:tc>
          <w:tcPr>
            <w:tcW w:w="652"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4"/>
                <w:szCs w:val="24"/>
                <w:u w:val="none"/>
              </w:rPr>
            </w:pPr>
          </w:p>
        </w:tc>
        <w:tc>
          <w:tcPr>
            <w:tcW w:w="108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720"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w:t>
            </w:r>
            <w:r>
              <w:rPr>
                <w:rFonts w:hint="eastAsia" w:ascii="宋体" w:hAnsi="宋体" w:eastAsia="宋体" w:cs="宋体"/>
                <w:b/>
                <w:bCs/>
                <w:i w:val="0"/>
                <w:iCs w:val="0"/>
                <w:color w:val="000000"/>
                <w:kern w:val="0"/>
                <w:sz w:val="20"/>
                <w:szCs w:val="20"/>
                <w:u w:val="none"/>
                <w:lang w:val="en-US" w:eastAsia="zh-CN" w:bidi="ar"/>
              </w:rPr>
              <w:t>年泽普县本级国有资本经营预算支出表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58"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102"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795"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840" w:type="dxa"/>
            <w:tcBorders>
              <w:top w:val="nil"/>
              <w:left w:val="nil"/>
              <w:bottom w:val="single" w:color="000000"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855" w:type="dxa"/>
            <w:tcBorders>
              <w:top w:val="nil"/>
              <w:left w:val="nil"/>
              <w:bottom w:val="single" w:color="000000"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735" w:type="dxa"/>
            <w:tcBorders>
              <w:top w:val="nil"/>
              <w:left w:val="nil"/>
              <w:bottom w:val="single" w:color="000000"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900"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840" w:type="dxa"/>
            <w:tcBorders>
              <w:top w:val="nil"/>
              <w:left w:val="nil"/>
              <w:bottom w:val="single" w:color="000000"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863" w:type="dxa"/>
            <w:tcBorders>
              <w:top w:val="nil"/>
              <w:left w:val="nil"/>
              <w:bottom w:val="single" w:color="000000" w:sz="4" w:space="0"/>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732" w:type="dxa"/>
            <w:gridSpan w:val="2"/>
            <w:tcBorders>
              <w:top w:val="nil"/>
              <w:left w:val="nil"/>
              <w:bottom w:val="single" w:color="000000" w:sz="8" w:space="0"/>
              <w:right w:val="nil"/>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5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科目编码</w:t>
            </w:r>
          </w:p>
        </w:tc>
        <w:tc>
          <w:tcPr>
            <w:tcW w:w="1102"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科目名称</w:t>
            </w:r>
          </w:p>
        </w:tc>
        <w:tc>
          <w:tcPr>
            <w:tcW w:w="3225" w:type="dxa"/>
            <w:gridSpan w:val="4"/>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2025年完成数</w:t>
            </w:r>
          </w:p>
        </w:tc>
        <w:tc>
          <w:tcPr>
            <w:tcW w:w="3255" w:type="dxa"/>
            <w:gridSpan w:val="4"/>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2026年预算数</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预算数为上年完成数的%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05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1102"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小计</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资本性支出</w:t>
            </w:r>
          </w:p>
        </w:tc>
        <w:tc>
          <w:tcPr>
            <w:tcW w:w="8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费用性支出</w:t>
            </w:r>
          </w:p>
        </w:tc>
        <w:tc>
          <w:tcPr>
            <w:tcW w:w="73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其他支出</w:t>
            </w:r>
          </w:p>
        </w:tc>
        <w:tc>
          <w:tcPr>
            <w:tcW w:w="9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小计</w:t>
            </w:r>
          </w:p>
        </w:tc>
        <w:tc>
          <w:tcPr>
            <w:tcW w:w="8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资本性支出</w:t>
            </w:r>
          </w:p>
        </w:tc>
        <w:tc>
          <w:tcPr>
            <w:tcW w:w="86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费用性支出</w:t>
            </w:r>
          </w:p>
        </w:tc>
        <w:tc>
          <w:tcPr>
            <w:tcW w:w="65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其他支出</w:t>
            </w: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jc w:val="center"/>
        </w:trPr>
        <w:tc>
          <w:tcPr>
            <w:tcW w:w="1058" w:type="dxa"/>
            <w:tcBorders>
              <w:top w:val="nil"/>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22301</w:t>
            </w:r>
          </w:p>
        </w:tc>
        <w:tc>
          <w:tcPr>
            <w:tcW w:w="1102" w:type="dxa"/>
            <w:tcBorders>
              <w:top w:val="nil"/>
              <w:left w:val="nil"/>
              <w:bottom w:val="single" w:color="000000" w:sz="8" w:space="0"/>
              <w:right w:val="single" w:color="000000" w:sz="8"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一、解决历史遗留问题及改革成本支出</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5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73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0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63"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6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105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2230105</w:t>
            </w:r>
          </w:p>
        </w:tc>
        <w:tc>
          <w:tcPr>
            <w:tcW w:w="11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国有企业退休人员社会化管理补助支出</w:t>
            </w:r>
          </w:p>
        </w:tc>
        <w:tc>
          <w:tcPr>
            <w:tcW w:w="79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840" w:type="dxa"/>
            <w:tcBorders>
              <w:top w:val="nil"/>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5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73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6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6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jc w:val="center"/>
        </w:trPr>
        <w:tc>
          <w:tcPr>
            <w:tcW w:w="1058" w:type="dxa"/>
            <w:tcBorders>
              <w:top w:val="nil"/>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22302</w:t>
            </w:r>
          </w:p>
        </w:tc>
        <w:tc>
          <w:tcPr>
            <w:tcW w:w="1102" w:type="dxa"/>
            <w:tcBorders>
              <w:top w:val="nil"/>
              <w:left w:val="nil"/>
              <w:bottom w:val="single" w:color="000000" w:sz="8" w:space="0"/>
              <w:right w:val="single" w:color="000000" w:sz="8"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二、国有企业资本金注入</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5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73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0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63"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6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105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2230299</w:t>
            </w:r>
          </w:p>
        </w:tc>
        <w:tc>
          <w:tcPr>
            <w:tcW w:w="11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其他国有企业资本金注入</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500</w:t>
            </w:r>
          </w:p>
        </w:tc>
        <w:tc>
          <w:tcPr>
            <w:tcW w:w="85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73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w:t>
            </w:r>
          </w:p>
        </w:tc>
        <w:tc>
          <w:tcPr>
            <w:tcW w:w="8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w:t>
            </w:r>
          </w:p>
        </w:tc>
        <w:tc>
          <w:tcPr>
            <w:tcW w:w="863"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6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058" w:type="dxa"/>
            <w:tcBorders>
              <w:top w:val="nil"/>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22303</w:t>
            </w:r>
          </w:p>
        </w:tc>
        <w:tc>
          <w:tcPr>
            <w:tcW w:w="1102" w:type="dxa"/>
            <w:tcBorders>
              <w:top w:val="nil"/>
              <w:left w:val="nil"/>
              <w:bottom w:val="single" w:color="000000" w:sz="8" w:space="0"/>
              <w:right w:val="single" w:color="000000" w:sz="8"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三、国有企业</w:t>
            </w:r>
            <w:r>
              <w:rPr>
                <w:rFonts w:hint="eastAsia" w:ascii="宋体" w:hAnsi="宋体" w:eastAsia="宋体" w:cs="宋体"/>
                <w:i w:val="0"/>
                <w:iCs w:val="0"/>
                <w:color w:val="000000"/>
                <w:kern w:val="0"/>
                <w:sz w:val="20"/>
                <w:szCs w:val="20"/>
                <w:u w:val="none"/>
                <w:lang w:val="en-US" w:eastAsia="zh-CN" w:bidi="ar"/>
              </w:rPr>
              <w:t>公益</w:t>
            </w:r>
            <w:r>
              <w:rPr>
                <w:rFonts w:hint="default" w:ascii="Times New Roman" w:hAnsi="Times New Roman" w:eastAsia="宋体" w:cs="Times New Roman"/>
                <w:i w:val="0"/>
                <w:iCs w:val="0"/>
                <w:color w:val="000000"/>
                <w:kern w:val="0"/>
                <w:sz w:val="20"/>
                <w:szCs w:val="20"/>
                <w:u w:val="none"/>
                <w:lang w:val="en-US" w:eastAsia="zh-CN" w:bidi="ar"/>
              </w:rPr>
              <w:t>性补贴</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5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73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0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63"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6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jc w:val="center"/>
        </w:trPr>
        <w:tc>
          <w:tcPr>
            <w:tcW w:w="1058"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2300803</w:t>
            </w:r>
          </w:p>
        </w:tc>
        <w:tc>
          <w:tcPr>
            <w:tcW w:w="11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国有资本经营预算调</w:t>
            </w:r>
            <w:r>
              <w:rPr>
                <w:rFonts w:hint="eastAsia" w:ascii="宋体" w:hAnsi="宋体" w:eastAsia="宋体" w:cs="宋体"/>
                <w:i w:val="0"/>
                <w:iCs w:val="0"/>
                <w:color w:val="000000"/>
                <w:kern w:val="0"/>
                <w:sz w:val="20"/>
                <w:szCs w:val="20"/>
                <w:u w:val="none"/>
                <w:lang w:val="en-US" w:eastAsia="zh-CN" w:bidi="ar"/>
              </w:rPr>
              <w:t>出</w:t>
            </w:r>
            <w:r>
              <w:rPr>
                <w:rFonts w:hint="default" w:ascii="Times New Roman" w:hAnsi="Times New Roman" w:eastAsia="宋体" w:cs="Times New Roman"/>
                <w:i w:val="0"/>
                <w:iCs w:val="0"/>
                <w:color w:val="000000"/>
                <w:kern w:val="0"/>
                <w:sz w:val="20"/>
                <w:szCs w:val="20"/>
                <w:u w:val="none"/>
                <w:lang w:val="en-US" w:eastAsia="zh-CN" w:bidi="ar"/>
              </w:rPr>
              <w:t>资金</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388</w:t>
            </w: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5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73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0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63"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6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1058"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2300918</w:t>
            </w:r>
          </w:p>
        </w:tc>
        <w:tc>
          <w:tcPr>
            <w:tcW w:w="110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国有资本经营预算年终结余</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5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73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400</w:t>
            </w: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63"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6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1058" w:type="dxa"/>
            <w:tcBorders>
              <w:top w:val="nil"/>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22399</w:t>
            </w:r>
          </w:p>
        </w:tc>
        <w:tc>
          <w:tcPr>
            <w:tcW w:w="1102" w:type="dxa"/>
            <w:tcBorders>
              <w:top w:val="nil"/>
              <w:left w:val="nil"/>
              <w:bottom w:val="single" w:color="000000" w:sz="8" w:space="0"/>
              <w:right w:val="single" w:color="000000" w:sz="8" w:space="0"/>
            </w:tcBorders>
            <w:shd w:val="clear" w:color="auto" w:fill="FFFFFF"/>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四、其他国有资本经营预算支出</w:t>
            </w:r>
          </w:p>
        </w:tc>
        <w:tc>
          <w:tcPr>
            <w:tcW w:w="79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5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73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90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863"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6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1058" w:type="dxa"/>
            <w:tcBorders>
              <w:top w:val="nil"/>
              <w:left w:val="single" w:color="000000" w:sz="8" w:space="0"/>
              <w:bottom w:val="single" w:color="000000" w:sz="8" w:space="0"/>
              <w:right w:val="single" w:color="000000" w:sz="8" w:space="0"/>
            </w:tcBorders>
            <w:shd w:val="clear" w:color="auto" w:fill="FFFFFF"/>
            <w:vAlign w:val="bottom"/>
          </w:tcPr>
          <w:p>
            <w:pPr>
              <w:jc w:val="center"/>
              <w:rPr>
                <w:rFonts w:hint="default" w:ascii="Times New Roman" w:hAnsi="Times New Roman" w:eastAsia="宋体" w:cs="Times New Roman"/>
                <w:b/>
                <w:bCs/>
                <w:i w:val="0"/>
                <w:iCs w:val="0"/>
                <w:color w:val="000000"/>
                <w:sz w:val="20"/>
                <w:szCs w:val="20"/>
                <w:u w:val="none"/>
              </w:rPr>
            </w:pPr>
          </w:p>
        </w:tc>
        <w:tc>
          <w:tcPr>
            <w:tcW w:w="1102" w:type="dxa"/>
            <w:tcBorders>
              <w:top w:val="nil"/>
              <w:left w:val="nil"/>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支出合计</w:t>
            </w:r>
          </w:p>
        </w:tc>
        <w:tc>
          <w:tcPr>
            <w:tcW w:w="7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1093</w:t>
            </w: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85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735"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9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1405</w:t>
            </w:r>
          </w:p>
        </w:tc>
        <w:tc>
          <w:tcPr>
            <w:tcW w:w="840"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863"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652" w:type="dxa"/>
            <w:tcBorders>
              <w:top w:val="nil"/>
              <w:left w:val="nil"/>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bottom"/>
          </w:tcPr>
          <w:p>
            <w:pPr>
              <w:jc w:val="right"/>
              <w:rPr>
                <w:rFonts w:hint="default" w:ascii="Times New Roman" w:hAnsi="Times New Roman" w:eastAsia="宋体" w:cs="Times New Roman"/>
                <w:b/>
                <w:bCs/>
                <w:i w:val="0"/>
                <w:iCs w:val="0"/>
                <w:color w:val="000000"/>
                <w:sz w:val="20"/>
                <w:szCs w:val="20"/>
                <w:u w:val="none"/>
              </w:rPr>
            </w:pPr>
          </w:p>
        </w:tc>
      </w:tr>
    </w:tbl>
    <w:p>
      <w:pPr>
        <w:pStyle w:val="2"/>
        <w:rPr>
          <w:rFonts w:hint="default"/>
        </w:rPr>
      </w:pPr>
    </w:p>
    <w:p>
      <w:pPr>
        <w:pStyle w:val="2"/>
        <w:rPr>
          <w:rFonts w:hint="default"/>
        </w:rPr>
      </w:pPr>
    </w:p>
    <w:p>
      <w:pPr>
        <w:pStyle w:val="2"/>
        <w:ind w:left="0" w:leftChars="0" w:firstLine="0" w:firstLineChars="0"/>
        <w:rPr>
          <w:rFonts w:hint="default" w:ascii="Times New Roman" w:hAnsi="Times New Roman" w:eastAsia="黑体" w:cs="Times New Roman"/>
          <w:bCs/>
          <w:kern w:val="0"/>
          <w:sz w:val="32"/>
          <w:szCs w:val="32"/>
          <w:highlight w:val="none"/>
          <w:lang w:val="en-US" w:eastAsia="zh-Hans"/>
        </w:rPr>
      </w:pPr>
    </w:p>
    <w:p>
      <w:pPr>
        <w:rPr>
          <w:rFonts w:hint="default" w:ascii="Times New Roman" w:hAnsi="Times New Roman" w:eastAsia="黑体" w:cs="Times New Roman"/>
          <w:bCs/>
          <w:kern w:val="0"/>
          <w:sz w:val="32"/>
          <w:szCs w:val="32"/>
          <w:highlight w:val="none"/>
          <w:lang w:val="en-US" w:eastAsia="zh-Hans"/>
        </w:rPr>
      </w:pPr>
    </w:p>
    <w:tbl>
      <w:tblPr>
        <w:tblStyle w:val="8"/>
        <w:tblW w:w="80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35"/>
        <w:gridCol w:w="2265"/>
        <w:gridCol w:w="825"/>
        <w:gridCol w:w="18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8090"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表20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8090" w:type="dxa"/>
            <w:gridSpan w:val="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2025年泽普县国有资本经营预算对下转移支付安排情况表（分地区、项目）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135"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2265"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825" w:type="dxa"/>
            <w:tcBorders>
              <w:top w:val="nil"/>
              <w:left w:val="nil"/>
              <w:bottom w:val="nil"/>
              <w:right w:val="nil"/>
            </w:tcBorders>
            <w:shd w:val="clear" w:color="auto" w:fill="auto"/>
            <w:vAlign w:val="bottom"/>
          </w:tcPr>
          <w:p>
            <w:pPr>
              <w:jc w:val="center"/>
              <w:rPr>
                <w:rFonts w:hint="default" w:ascii="Times New Roman" w:hAnsi="Times New Roman" w:eastAsia="宋体" w:cs="Times New Roman"/>
                <w:i w:val="0"/>
                <w:iCs w:val="0"/>
                <w:color w:val="000000"/>
                <w:sz w:val="20"/>
                <w:szCs w:val="20"/>
                <w:u w:val="none"/>
              </w:rPr>
            </w:pPr>
          </w:p>
        </w:tc>
        <w:tc>
          <w:tcPr>
            <w:tcW w:w="1865" w:type="dxa"/>
            <w:tcBorders>
              <w:top w:val="nil"/>
              <w:left w:val="nil"/>
              <w:bottom w:val="single" w:color="000000" w:sz="4" w:space="0"/>
              <w:right w:val="nil"/>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13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项目名称</w:t>
            </w:r>
          </w:p>
        </w:tc>
        <w:tc>
          <w:tcPr>
            <w:tcW w:w="226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合计</w:t>
            </w:r>
          </w:p>
        </w:tc>
        <w:tc>
          <w:tcPr>
            <w:tcW w:w="269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泽普县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313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国有资本经营预算转移支付</w:t>
            </w:r>
          </w:p>
        </w:tc>
        <w:tc>
          <w:tcPr>
            <w:tcW w:w="226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p>
        </w:tc>
        <w:tc>
          <w:tcPr>
            <w:tcW w:w="2690"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0"/>
                <w:szCs w:val="20"/>
                <w:u w:val="none"/>
                <w:lang w:val="en-US" w:eastAsia="zh-CN" w:bidi="ar"/>
              </w:rPr>
            </w:pPr>
          </w:p>
        </w:tc>
      </w:tr>
    </w:tbl>
    <w:p>
      <w:pPr>
        <w:pStyle w:val="7"/>
        <w:ind w:firstLine="221" w:firstLineChars="100"/>
        <w:rPr>
          <w:rFonts w:hint="default" w:ascii="Times New Roman" w:hAnsi="Times New Roman" w:eastAsia="仿宋_GB2312" w:cs="Times New Roman"/>
          <w:b/>
          <w:bCs/>
          <w:i w:val="0"/>
          <w:color w:val="000000"/>
          <w:kern w:val="0"/>
          <w:sz w:val="22"/>
          <w:szCs w:val="22"/>
          <w:u w:val="none"/>
          <w:lang w:val="en-US" w:eastAsia="zh-CN" w:bidi="ar"/>
        </w:rPr>
      </w:pPr>
      <w:r>
        <w:rPr>
          <w:rFonts w:hint="eastAsia" w:ascii="Times New Roman" w:hAnsi="Times New Roman" w:eastAsia="仿宋_GB2312" w:cs="Times New Roman"/>
          <w:b/>
          <w:bCs/>
          <w:i w:val="0"/>
          <w:color w:val="000000"/>
          <w:kern w:val="0"/>
          <w:sz w:val="22"/>
          <w:szCs w:val="22"/>
          <w:u w:val="none"/>
          <w:lang w:val="en-US" w:eastAsia="zh-CN" w:bidi="ar"/>
        </w:rPr>
        <w:t>备注：</w:t>
      </w:r>
      <w:r>
        <w:rPr>
          <w:rFonts w:hint="default" w:ascii="Times New Roman" w:hAnsi="Times New Roman" w:eastAsia="仿宋_GB2312" w:cs="Times New Roman"/>
          <w:b/>
          <w:bCs/>
          <w:i w:val="0"/>
          <w:color w:val="000000"/>
          <w:kern w:val="0"/>
          <w:sz w:val="22"/>
          <w:szCs w:val="22"/>
          <w:u w:val="none"/>
          <w:lang w:val="en-US" w:eastAsia="zh-CN" w:bidi="ar"/>
        </w:rPr>
        <w:t>2025年泽普县</w:t>
      </w:r>
      <w:r>
        <w:rPr>
          <w:rFonts w:hint="eastAsia" w:eastAsia="仿宋_GB2312" w:cs="Times New Roman"/>
          <w:b/>
          <w:bCs/>
          <w:i w:val="0"/>
          <w:color w:val="000000"/>
          <w:kern w:val="0"/>
          <w:sz w:val="22"/>
          <w:szCs w:val="22"/>
          <w:u w:val="none"/>
          <w:lang w:val="en-US" w:eastAsia="zh-CN" w:bidi="ar"/>
        </w:rPr>
        <w:t>无</w:t>
      </w:r>
      <w:r>
        <w:rPr>
          <w:rFonts w:hint="default" w:ascii="Times New Roman" w:hAnsi="Times New Roman" w:eastAsia="仿宋_GB2312" w:cs="Times New Roman"/>
          <w:b/>
          <w:bCs/>
          <w:i w:val="0"/>
          <w:color w:val="000000"/>
          <w:kern w:val="0"/>
          <w:sz w:val="22"/>
          <w:szCs w:val="22"/>
          <w:u w:val="none"/>
          <w:lang w:val="en-US" w:eastAsia="zh-CN" w:bidi="ar"/>
        </w:rPr>
        <w:t>国有资本经营预算对下转移支付安排情况表</w:t>
      </w:r>
    </w:p>
    <w:p>
      <w:pPr>
        <w:pStyle w:val="2"/>
        <w:rPr>
          <w:rFonts w:hint="default"/>
          <w:lang w:val="en-US" w:eastAsia="zh-Hans"/>
        </w:rPr>
      </w:pPr>
    </w:p>
    <w:p>
      <w:pPr>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br w:type="page"/>
      </w:r>
    </w:p>
    <w:p>
      <w:pPr>
        <w:numPr>
          <w:ilvl w:val="0"/>
          <w:numId w:val="2"/>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t>社会保险基金预算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tbl>
      <w:tblPr>
        <w:tblStyle w:val="8"/>
        <w:tblpPr w:leftFromText="180" w:rightFromText="180" w:vertAnchor="text" w:horzAnchor="page" w:tblpXSpec="center" w:tblpY="636"/>
        <w:tblOverlap w:val="never"/>
        <w:tblW w:w="98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2"/>
        <w:gridCol w:w="4682"/>
        <w:gridCol w:w="1393"/>
        <w:gridCol w:w="1335"/>
        <w:gridCol w:w="14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972" w:type="dxa"/>
            <w:noWrap w:val="0"/>
            <w:vAlign w:val="center"/>
          </w:tcPr>
          <w:p>
            <w:pPr>
              <w:keepNext w:val="0"/>
              <w:keepLines w:val="0"/>
              <w:widowControl/>
              <w:suppressLineNumbers w:val="0"/>
              <w:adjustRightInd w:val="0"/>
              <w:snapToGrid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表</w:t>
            </w:r>
            <w:r>
              <w:rPr>
                <w:rFonts w:hint="default" w:ascii="Times New Roman" w:hAnsi="Times New Roman" w:cs="Times New Roman"/>
                <w:i w:val="0"/>
                <w:color w:val="000000"/>
                <w:kern w:val="0"/>
                <w:sz w:val="20"/>
                <w:szCs w:val="20"/>
                <w:u w:val="none"/>
                <w:lang w:eastAsia="zh-CN" w:bidi="ar"/>
              </w:rPr>
              <w:t>21</w:t>
            </w:r>
          </w:p>
        </w:tc>
        <w:tc>
          <w:tcPr>
            <w:tcW w:w="4682" w:type="dxa"/>
            <w:noWrap w:val="0"/>
            <w:vAlign w:val="center"/>
          </w:tcPr>
          <w:p>
            <w:pPr>
              <w:adjustRightInd w:val="0"/>
              <w:snapToGrid w:val="0"/>
              <w:rPr>
                <w:rFonts w:hint="default" w:ascii="Times New Roman" w:hAnsi="Times New Roman" w:eastAsia="宋体" w:cs="Times New Roman"/>
                <w:i w:val="0"/>
                <w:color w:val="000000"/>
                <w:sz w:val="20"/>
                <w:szCs w:val="20"/>
                <w:u w:val="none"/>
              </w:rPr>
            </w:pPr>
          </w:p>
        </w:tc>
        <w:tc>
          <w:tcPr>
            <w:tcW w:w="1393" w:type="dxa"/>
            <w:noWrap w:val="0"/>
            <w:vAlign w:val="center"/>
          </w:tcPr>
          <w:p>
            <w:pPr>
              <w:adjustRightInd w:val="0"/>
              <w:snapToGrid w:val="0"/>
              <w:rPr>
                <w:rFonts w:hint="default" w:ascii="Times New Roman" w:hAnsi="Times New Roman" w:eastAsia="宋体" w:cs="Times New Roman"/>
                <w:i w:val="0"/>
                <w:color w:val="000000"/>
                <w:sz w:val="20"/>
                <w:szCs w:val="20"/>
                <w:u w:val="none"/>
              </w:rPr>
            </w:pPr>
          </w:p>
        </w:tc>
        <w:tc>
          <w:tcPr>
            <w:tcW w:w="1335" w:type="dxa"/>
            <w:noWrap w:val="0"/>
            <w:vAlign w:val="center"/>
          </w:tcPr>
          <w:p>
            <w:pPr>
              <w:adjustRightInd w:val="0"/>
              <w:snapToGrid w:val="0"/>
              <w:rPr>
                <w:rFonts w:hint="default" w:ascii="Times New Roman" w:hAnsi="Times New Roman" w:eastAsia="宋体" w:cs="Times New Roman"/>
                <w:i w:val="0"/>
                <w:color w:val="000000"/>
                <w:sz w:val="20"/>
                <w:szCs w:val="20"/>
                <w:u w:val="none"/>
              </w:rPr>
            </w:pPr>
          </w:p>
        </w:tc>
        <w:tc>
          <w:tcPr>
            <w:tcW w:w="1455" w:type="dxa"/>
            <w:noWrap w:val="0"/>
            <w:vAlign w:val="center"/>
          </w:tcPr>
          <w:p>
            <w:pPr>
              <w:adjustRightInd w:val="0"/>
              <w:snapToGrid w:val="0"/>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972" w:type="dxa"/>
            <w:noWrap w:val="0"/>
            <w:vAlign w:val="center"/>
          </w:tcPr>
          <w:p>
            <w:pPr>
              <w:adjustRightInd w:val="0"/>
              <w:snapToGrid w:val="0"/>
              <w:rPr>
                <w:rFonts w:hint="default" w:ascii="Times New Roman" w:hAnsi="Times New Roman" w:eastAsia="宋体" w:cs="Times New Roman"/>
                <w:i w:val="0"/>
                <w:color w:val="000000"/>
                <w:sz w:val="20"/>
                <w:szCs w:val="20"/>
                <w:u w:val="none"/>
              </w:rPr>
            </w:pPr>
          </w:p>
        </w:tc>
        <w:tc>
          <w:tcPr>
            <w:tcW w:w="8865" w:type="dxa"/>
            <w:gridSpan w:val="4"/>
            <w:noWrap w:val="0"/>
            <w:vAlign w:val="center"/>
          </w:tcPr>
          <w:p>
            <w:pPr>
              <w:keepNext w:val="0"/>
              <w:keepLines w:val="0"/>
              <w:widowControl/>
              <w:suppressLineNumbers w:val="0"/>
              <w:adjustRightInd w:val="0"/>
              <w:snapToGrid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eastAsia" w:cs="Times New Roman"/>
                <w:b/>
                <w:i w:val="0"/>
                <w:color w:val="000000"/>
                <w:kern w:val="0"/>
                <w:sz w:val="20"/>
                <w:szCs w:val="20"/>
                <w:u w:val="none"/>
                <w:lang w:val="en-US" w:eastAsia="zh-CN" w:bidi="ar"/>
              </w:rPr>
              <w:t>6</w:t>
            </w:r>
            <w:r>
              <w:rPr>
                <w:rFonts w:hint="default" w:ascii="Times New Roman" w:hAnsi="Times New Roman" w:eastAsia="宋体" w:cs="Times New Roman"/>
                <w:b/>
                <w:i w:val="0"/>
                <w:color w:val="000000"/>
                <w:kern w:val="0"/>
                <w:sz w:val="20"/>
                <w:szCs w:val="20"/>
                <w:u w:val="none"/>
                <w:lang w:val="en-US" w:eastAsia="zh-CN" w:bidi="ar"/>
              </w:rPr>
              <w:t>年</w:t>
            </w:r>
            <w:r>
              <w:rPr>
                <w:rFonts w:hint="eastAsia"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社会保险基金预算收入表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9" w:hRule="atLeast"/>
          <w:jc w:val="center"/>
        </w:trPr>
        <w:tc>
          <w:tcPr>
            <w:tcW w:w="972" w:type="dxa"/>
            <w:shd w:val="clear" w:color="auto" w:fill="FFFFFF"/>
            <w:noWrap w:val="0"/>
            <w:vAlign w:val="center"/>
          </w:tcPr>
          <w:p>
            <w:pPr>
              <w:adjustRightInd w:val="0"/>
              <w:snapToGrid w:val="0"/>
              <w:rPr>
                <w:rFonts w:hint="default" w:ascii="Times New Roman" w:hAnsi="Times New Roman" w:eastAsia="宋体" w:cs="Times New Roman"/>
                <w:i w:val="0"/>
                <w:color w:val="000000"/>
                <w:sz w:val="20"/>
                <w:szCs w:val="20"/>
                <w:u w:val="none"/>
              </w:rPr>
            </w:pPr>
          </w:p>
        </w:tc>
        <w:tc>
          <w:tcPr>
            <w:tcW w:w="4682" w:type="dxa"/>
            <w:shd w:val="clear" w:color="auto" w:fill="FFFFFF"/>
            <w:noWrap w:val="0"/>
            <w:vAlign w:val="center"/>
          </w:tcPr>
          <w:p>
            <w:pPr>
              <w:adjustRightInd w:val="0"/>
              <w:snapToGrid w:val="0"/>
              <w:jc w:val="center"/>
              <w:rPr>
                <w:rFonts w:hint="default" w:ascii="Times New Roman" w:hAnsi="Times New Roman" w:eastAsia="宋体" w:cs="Times New Roman"/>
                <w:i w:val="0"/>
                <w:color w:val="000000"/>
                <w:sz w:val="20"/>
                <w:szCs w:val="20"/>
                <w:u w:val="none"/>
              </w:rPr>
            </w:pPr>
          </w:p>
        </w:tc>
        <w:tc>
          <w:tcPr>
            <w:tcW w:w="1393" w:type="dxa"/>
            <w:shd w:val="clear" w:color="auto" w:fill="FFFFFF"/>
            <w:noWrap w:val="0"/>
            <w:vAlign w:val="center"/>
          </w:tcPr>
          <w:p>
            <w:pPr>
              <w:adjustRightInd w:val="0"/>
              <w:snapToGrid w:val="0"/>
              <w:jc w:val="center"/>
              <w:rPr>
                <w:rFonts w:hint="default" w:ascii="Times New Roman" w:hAnsi="Times New Roman" w:eastAsia="宋体" w:cs="Times New Roman"/>
                <w:i w:val="0"/>
                <w:color w:val="000000"/>
                <w:sz w:val="20"/>
                <w:szCs w:val="20"/>
                <w:u w:val="none"/>
              </w:rPr>
            </w:pPr>
          </w:p>
        </w:tc>
        <w:tc>
          <w:tcPr>
            <w:tcW w:w="1335" w:type="dxa"/>
            <w:shd w:val="clear" w:color="auto" w:fill="FFFFFF"/>
            <w:noWrap w:val="0"/>
            <w:vAlign w:val="center"/>
          </w:tcPr>
          <w:p>
            <w:pPr>
              <w:adjustRightInd w:val="0"/>
              <w:snapToGrid w:val="0"/>
              <w:jc w:val="center"/>
              <w:rPr>
                <w:rFonts w:hint="default" w:ascii="Times New Roman" w:hAnsi="Times New Roman" w:eastAsia="宋体" w:cs="Times New Roman"/>
                <w:i w:val="0"/>
                <w:color w:val="000000"/>
                <w:sz w:val="20"/>
                <w:szCs w:val="20"/>
                <w:u w:val="none"/>
              </w:rPr>
            </w:pPr>
          </w:p>
        </w:tc>
        <w:tc>
          <w:tcPr>
            <w:tcW w:w="1455" w:type="dxa"/>
            <w:shd w:val="clear" w:color="auto" w:fill="FFFFFF"/>
            <w:noWrap w:val="0"/>
            <w:vAlign w:val="center"/>
          </w:tcPr>
          <w:p>
            <w:pPr>
              <w:keepNext w:val="0"/>
              <w:keepLines w:val="0"/>
              <w:widowControl/>
              <w:suppressLineNumbers w:val="0"/>
              <w:adjustRightInd w:val="0"/>
              <w:snapToGrid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6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项目</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w:t>
            </w: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w:t>
            </w: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6</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u w:val="none"/>
                <w:lang w:val="en-US" w:eastAsia="zh-CN" w:bidi="ar"/>
              </w:rPr>
            </w:pPr>
            <w:r>
              <w:rPr>
                <w:rFonts w:hint="default" w:ascii="Times New Roman" w:hAnsi="Times New Roman" w:eastAsia="宋体" w:cs="Times New Roman"/>
                <w:b/>
                <w:bCs/>
                <w:i w:val="0"/>
                <w:color w:val="000000"/>
                <w:kern w:val="0"/>
                <w:sz w:val="20"/>
                <w:szCs w:val="20"/>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102</w:t>
            </w:r>
          </w:p>
        </w:tc>
        <w:tc>
          <w:tcPr>
            <w:tcW w:w="4682" w:type="dxa"/>
            <w:vMerge w:val="restart"/>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社会保险基金收入合计</w:t>
            </w:r>
          </w:p>
        </w:tc>
        <w:tc>
          <w:tcPr>
            <w:tcW w:w="1393"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11263.31</w:t>
            </w:r>
          </w:p>
        </w:tc>
        <w:tc>
          <w:tcPr>
            <w:tcW w:w="1335"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10100.21</w:t>
            </w:r>
          </w:p>
        </w:tc>
        <w:tc>
          <w:tcPr>
            <w:tcW w:w="1455"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89.67%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val="0"/>
              <w:adjustRightInd w:val="0"/>
              <w:snapToGrid w:val="0"/>
              <w:jc w:val="left"/>
              <w:rPr>
                <w:rFonts w:hint="default" w:ascii="Times New Roman" w:hAnsi="Times New Roman" w:cs="Times New Roman"/>
              </w:rPr>
            </w:pPr>
          </w:p>
        </w:tc>
        <w:tc>
          <w:tcPr>
            <w:tcW w:w="4682" w:type="dxa"/>
            <w:vMerge w:val="continue"/>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val="0"/>
              <w:suppressLineNumbers w:val="0"/>
              <w:adjustRightInd w:val="0"/>
              <w:snapToGrid w:val="0"/>
              <w:jc w:val="left"/>
              <w:textAlignment w:val="auto"/>
              <w:rPr>
                <w:rFonts w:hint="default" w:ascii="Times New Roman" w:hAnsi="Times New Roman" w:cs="Times New Roman"/>
              </w:rPr>
            </w:pP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其中:保险费收入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4989.91</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3796.26</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76.08%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社会保险基金财政补贴收入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812.93</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867.85</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106.76%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利息收入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138.24</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44.9</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32.48%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r>
              <w:rPr>
                <w:rFonts w:hint="default" w:ascii="Times New Roman" w:hAnsi="Times New Roman" w:cs="Times New Roman"/>
                <w:lang w:val="en-US" w:eastAsia="zh-CN"/>
              </w:rPr>
              <w:t>10201</w:t>
            </w: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一、企业职工基本养老保险基金收入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r>
              <w:rPr>
                <w:rFonts w:hint="default" w:ascii="Times New Roman" w:hAnsi="Times New Roman" w:cs="Times New Roman"/>
                <w:lang w:val="en-US" w:eastAsia="zh-CN"/>
              </w:rPr>
              <w:t>1020101</w:t>
            </w: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其中:企业职工基本养老保险费收入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r>
              <w:rPr>
                <w:rFonts w:hint="default" w:ascii="Times New Roman" w:hAnsi="Times New Roman" w:cs="Times New Roman"/>
                <w:lang w:val="en-US" w:eastAsia="zh-CN"/>
              </w:rPr>
              <w:t>1020102</w:t>
            </w: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企业职工基本养老保险基金财政补贴收入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r>
              <w:rPr>
                <w:rFonts w:hint="default" w:ascii="Times New Roman" w:hAnsi="Times New Roman" w:cs="Times New Roman"/>
                <w:lang w:val="en-US" w:eastAsia="zh-CN"/>
              </w:rPr>
              <w:t>1020103</w:t>
            </w: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企业职工基本养老保险基金利息收入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r>
              <w:rPr>
                <w:rFonts w:hint="default" w:ascii="Times New Roman" w:hAnsi="Times New Roman" w:cs="Times New Roman"/>
                <w:lang w:val="en-US" w:eastAsia="zh-CN"/>
              </w:rPr>
              <w:t>10211</w:t>
            </w: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二、机关事业基本养老保险基金收入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lang w:val="en-US" w:eastAsia="zh-CN"/>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lang w:val="en-US" w:eastAsia="zh-CN"/>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r>
              <w:rPr>
                <w:rFonts w:hint="default" w:ascii="Times New Roman" w:hAnsi="Times New Roman" w:cs="Times New Roman"/>
                <w:lang w:val="en-US" w:eastAsia="zh-CN"/>
              </w:rPr>
              <w:t>1021101</w:t>
            </w: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其中:机关事业单位基本养老保险费收入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lang w:val="en-US" w:eastAsia="zh-CN"/>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lang w:val="en-US" w:eastAsia="zh-CN"/>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r>
              <w:rPr>
                <w:rFonts w:hint="default" w:ascii="Times New Roman" w:hAnsi="Times New Roman" w:cs="Times New Roman"/>
                <w:lang w:val="en-US" w:eastAsia="zh-CN"/>
              </w:rPr>
              <w:t>1021102</w:t>
            </w: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机关事业单位基本养老保险基金财政补贴收入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r>
              <w:rPr>
                <w:rFonts w:hint="default" w:ascii="Times New Roman" w:hAnsi="Times New Roman" w:cs="Times New Roman"/>
                <w:lang w:val="en-US" w:eastAsia="zh-CN"/>
              </w:rPr>
              <w:t>1021103</w:t>
            </w: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机关事业单位基本养老保险基金利息收入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lang w:val="en-US" w:eastAsia="zh-CN"/>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eastAsia" w:ascii="Times New Roman" w:hAnsi="Times New Roman" w:eastAsia="宋体" w:cs="Times New Roman"/>
                <w:lang w:val="en-US" w:eastAsia="zh-CN"/>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r>
              <w:rPr>
                <w:rFonts w:hint="default" w:ascii="Times New Roman" w:hAnsi="Times New Roman" w:cs="Times New Roman"/>
                <w:lang w:val="en-US" w:eastAsia="zh-CN"/>
              </w:rPr>
              <w:t>10210</w:t>
            </w: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三、城乡居民基本养老保险基金收入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11263.31</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10100.21</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89.67%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r>
              <w:rPr>
                <w:rFonts w:hint="default" w:ascii="Times New Roman" w:hAnsi="Times New Roman" w:cs="Times New Roman"/>
                <w:lang w:val="en-US" w:eastAsia="zh-CN"/>
              </w:rPr>
              <w:t>1021001</w:t>
            </w: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其中:城乡居民基本养老保险费收入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4989.91</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3796.26</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76.08%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r>
              <w:rPr>
                <w:rFonts w:hint="default" w:ascii="Times New Roman" w:hAnsi="Times New Roman" w:cs="Times New Roman"/>
                <w:lang w:val="en-US" w:eastAsia="zh-CN"/>
              </w:rPr>
              <w:t>1021002</w:t>
            </w: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城乡居民基本养老保险基金财政补贴收入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812.93</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867.85</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106.76%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r>
              <w:rPr>
                <w:rFonts w:hint="default" w:ascii="Times New Roman" w:hAnsi="Times New Roman" w:cs="Times New Roman"/>
                <w:lang w:val="en-US" w:eastAsia="zh-CN"/>
              </w:rPr>
              <w:t>1021003</w:t>
            </w: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城乡居民基本养老保险基金利息收入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138.24</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44.9</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32.48%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rPr>
            </w:pPr>
            <w:r>
              <w:rPr>
                <w:rFonts w:hint="default" w:ascii="Times New Roman" w:hAnsi="Times New Roman" w:cs="Times New Roman"/>
                <w:lang w:val="en-US" w:eastAsia="zh-CN"/>
              </w:rPr>
              <w:t>10203</w:t>
            </w:r>
          </w:p>
        </w:tc>
        <w:tc>
          <w:tcPr>
            <w:tcW w:w="4682"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四、职工基本医疗保险基金收入</w:t>
            </w:r>
          </w:p>
        </w:tc>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rPr>
            </w:pPr>
          </w:p>
        </w:tc>
        <w:tc>
          <w:tcPr>
            <w:tcW w:w="4682"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87"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1020301</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eastAsia="宋体" w:cs="Times New Roman"/>
                <w:i w:val="0"/>
                <w:color w:val="000000"/>
                <w:kern w:val="0"/>
                <w:sz w:val="20"/>
                <w:szCs w:val="20"/>
                <w:u w:val="none"/>
                <w:lang w:val="en-US" w:eastAsia="zh-CN" w:bidi="ar"/>
              </w:rPr>
              <w:t>其中:职工基本医疗保险费收入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2"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1020302</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职工基本医疗保险基金财政补贴收入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37"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1020303</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职工基本医疗保险基金利息收入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42"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10212</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五、城乡居民基本医疗保险基金收入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1021201</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其中:城乡居民基本医疗保险费收入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7"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1021202</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城乡居民基本医疗保险基金财政补贴收入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7"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1021203</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城乡居民基本医疗保险基金利息收入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87"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10204</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六、工伤保险基金收入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57"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1020401</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其中:工伤保险费收入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2"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1020402</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工伤保险基金财政补贴收入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57"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1020403</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工伤保险基金利息收入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42"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10202</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七、失业保险基金收入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87"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1020201</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其中:失业保险费收入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17"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1020202</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失业保险财政补贴收入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jc w:val="center"/>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1020203</w:t>
            </w:r>
          </w:p>
        </w:tc>
        <w:tc>
          <w:tcPr>
            <w:tcW w:w="4682"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失业保险利息收入</w:t>
            </w:r>
          </w:p>
        </w:tc>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lang w:val="en-US" w:eastAsia="zh-CN"/>
              </w:rPr>
            </w:pPr>
          </w:p>
        </w:tc>
      </w:tr>
    </w:tbl>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tbl>
      <w:tblPr>
        <w:tblStyle w:val="8"/>
        <w:tblpPr w:leftFromText="180" w:rightFromText="180" w:vertAnchor="text" w:horzAnchor="page" w:tblpXSpec="center" w:tblpY="181"/>
        <w:tblOverlap w:val="never"/>
        <w:tblW w:w="95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93"/>
        <w:gridCol w:w="3790"/>
        <w:gridCol w:w="1490"/>
        <w:gridCol w:w="1440"/>
        <w:gridCol w:w="1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6" w:hRule="atLeast"/>
          <w:jc w:val="center"/>
        </w:trPr>
        <w:tc>
          <w:tcPr>
            <w:tcW w:w="1393" w:type="dxa"/>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eastAsia="宋体" w:cs="Times New Roman"/>
                <w:b w:val="0"/>
                <w:bCs/>
                <w:i w:val="0"/>
                <w:color w:val="000000"/>
                <w:kern w:val="0"/>
                <w:sz w:val="20"/>
                <w:szCs w:val="20"/>
                <w:u w:val="none"/>
                <w:lang w:val="en-US" w:eastAsia="zh-CN" w:bidi="ar"/>
              </w:rPr>
              <w:t>表22</w:t>
            </w:r>
          </w:p>
        </w:tc>
        <w:tc>
          <w:tcPr>
            <w:tcW w:w="3790" w:type="dxa"/>
            <w:noWrap w:val="0"/>
            <w:vAlign w:val="center"/>
          </w:tcPr>
          <w:p>
            <w:pPr>
              <w:rPr>
                <w:rFonts w:hint="default" w:ascii="Times New Roman" w:hAnsi="Times New Roman" w:cs="Times New Roman"/>
              </w:rPr>
            </w:pPr>
          </w:p>
        </w:tc>
        <w:tc>
          <w:tcPr>
            <w:tcW w:w="1490" w:type="dxa"/>
            <w:noWrap w:val="0"/>
            <w:vAlign w:val="center"/>
          </w:tcPr>
          <w:p>
            <w:pPr>
              <w:rPr>
                <w:rFonts w:hint="default" w:ascii="Times New Roman" w:hAnsi="Times New Roman" w:cs="Times New Roman"/>
              </w:rPr>
            </w:pPr>
          </w:p>
        </w:tc>
        <w:tc>
          <w:tcPr>
            <w:tcW w:w="1440" w:type="dxa"/>
            <w:noWrap w:val="0"/>
            <w:vAlign w:val="center"/>
          </w:tcPr>
          <w:p>
            <w:pPr>
              <w:rPr>
                <w:rFonts w:hint="default" w:ascii="Times New Roman" w:hAnsi="Times New Roman" w:cs="Times New Roman"/>
              </w:rPr>
            </w:pPr>
          </w:p>
        </w:tc>
        <w:tc>
          <w:tcPr>
            <w:tcW w:w="1410" w:type="dxa"/>
            <w:noWrap w:val="0"/>
            <w:vAlign w:val="center"/>
          </w:tcPr>
          <w:p>
            <w:pP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9523" w:type="dxa"/>
            <w:gridSpan w:val="5"/>
            <w:shd w:val="clear" w:color="auto" w:fill="FFFFFF"/>
            <w:noWrap w:val="0"/>
            <w:vAlign w:val="center"/>
          </w:tcPr>
          <w:p>
            <w:pPr>
              <w:keepNext w:val="0"/>
              <w:keepLines w:val="0"/>
              <w:widowControl/>
              <w:suppressLineNumbers w:val="0"/>
              <w:jc w:val="center"/>
              <w:textAlignment w:val="auto"/>
              <w:rPr>
                <w:rFonts w:hint="default" w:ascii="Times New Roman" w:hAnsi="Times New Roman" w:cs="Times New Roman"/>
              </w:rPr>
            </w:pPr>
            <w:r>
              <w:rPr>
                <w:rFonts w:hint="default" w:ascii="Times New Roman" w:hAnsi="Times New Roman" w:eastAsia="宋体" w:cs="Times New Roman"/>
                <w:b/>
                <w:i w:val="0"/>
                <w:color w:val="000000"/>
                <w:kern w:val="0"/>
                <w:sz w:val="20"/>
                <w:szCs w:val="20"/>
                <w:u w:val="none"/>
                <w:lang w:val="en-US" w:eastAsia="zh-CN" w:bidi="ar"/>
              </w:rPr>
              <w:t>202</w:t>
            </w:r>
            <w:r>
              <w:rPr>
                <w:rFonts w:hint="eastAsia" w:ascii="Times New Roman" w:hAnsi="Times New Roman" w:eastAsia="宋体" w:cs="Times New Roman"/>
                <w:b/>
                <w:i w:val="0"/>
                <w:color w:val="000000"/>
                <w:kern w:val="0"/>
                <w:sz w:val="20"/>
                <w:szCs w:val="20"/>
                <w:u w:val="none"/>
                <w:lang w:val="en-US" w:eastAsia="zh-CN" w:bidi="ar"/>
              </w:rPr>
              <w:t>6</w:t>
            </w:r>
            <w:r>
              <w:rPr>
                <w:rFonts w:hint="default" w:ascii="Times New Roman" w:hAnsi="Times New Roman" w:eastAsia="宋体" w:cs="Times New Roman"/>
                <w:b/>
                <w:i w:val="0"/>
                <w:color w:val="000000"/>
                <w:kern w:val="0"/>
                <w:sz w:val="20"/>
                <w:szCs w:val="20"/>
                <w:u w:val="none"/>
                <w:lang w:val="en-US" w:eastAsia="zh-CN" w:bidi="ar"/>
              </w:rPr>
              <w:t>年</w:t>
            </w:r>
            <w:r>
              <w:rPr>
                <w:rFonts w:hint="eastAsia" w:ascii="Times New Roman" w:hAnsi="Times New Roman" w:eastAsia="宋体"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社会保险基金预算支出表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3" w:hRule="atLeast"/>
          <w:jc w:val="center"/>
        </w:trPr>
        <w:tc>
          <w:tcPr>
            <w:tcW w:w="1393" w:type="dxa"/>
            <w:shd w:val="clear" w:color="auto" w:fill="FFFFFF"/>
            <w:noWrap w:val="0"/>
            <w:vAlign w:val="center"/>
          </w:tcPr>
          <w:p>
            <w:pPr>
              <w:jc w:val="left"/>
              <w:rPr>
                <w:rFonts w:hint="default" w:ascii="Times New Roman" w:hAnsi="Times New Roman" w:cs="Times New Roman"/>
              </w:rPr>
            </w:pPr>
          </w:p>
        </w:tc>
        <w:tc>
          <w:tcPr>
            <w:tcW w:w="3790" w:type="dxa"/>
            <w:shd w:val="clear" w:color="auto" w:fill="FFFFFF"/>
            <w:noWrap w:val="0"/>
            <w:vAlign w:val="center"/>
          </w:tcPr>
          <w:p>
            <w:pPr>
              <w:jc w:val="left"/>
              <w:rPr>
                <w:rFonts w:hint="default" w:ascii="Times New Roman" w:hAnsi="Times New Roman" w:cs="Times New Roman"/>
              </w:rPr>
            </w:pPr>
          </w:p>
        </w:tc>
        <w:tc>
          <w:tcPr>
            <w:tcW w:w="4340" w:type="dxa"/>
            <w:gridSpan w:val="3"/>
            <w:shd w:val="clear" w:color="auto" w:fill="FFFFFF"/>
            <w:noWrap w:val="0"/>
            <w:vAlign w:val="center"/>
          </w:tcPr>
          <w:p>
            <w:pPr>
              <w:keepNext w:val="0"/>
              <w:keepLines w:val="0"/>
              <w:widowControl/>
              <w:suppressLineNumbers w:val="0"/>
              <w:jc w:val="right"/>
              <w:textAlignment w:val="auto"/>
              <w:rPr>
                <w:rFonts w:hint="default" w:ascii="Times New Roman" w:hAnsi="Times New Roman" w:eastAsia="宋体" w:cs="Times New Roman"/>
                <w:b w:val="0"/>
                <w:bCs/>
                <w:i w:val="0"/>
                <w:color w:val="000000"/>
                <w:kern w:val="0"/>
                <w:sz w:val="20"/>
                <w:szCs w:val="20"/>
                <w:u w:val="none"/>
                <w:lang w:val="en-US" w:eastAsia="zh-CN" w:bidi="ar"/>
              </w:rPr>
            </w:pPr>
            <w:r>
              <w:rPr>
                <w:rFonts w:hint="default" w:ascii="Times New Roman" w:hAnsi="Times New Roman" w:eastAsia="宋体" w:cs="Times New Roman"/>
                <w:b w:val="0"/>
                <w:bCs/>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6" w:hRule="atLeast"/>
          <w:jc w:val="center"/>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auto"/>
              <w:rPr>
                <w:rFonts w:hint="default" w:ascii="Times New Roman" w:hAnsi="Times New Roman" w:cs="Times New Roman"/>
                <w:b/>
                <w:bCs/>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auto"/>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auto"/>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20</w:t>
            </w:r>
            <w:r>
              <w:rPr>
                <w:rFonts w:hint="eastAsia" w:ascii="Times New Roman" w:hAnsi="Times New Roman" w:eastAsia="宋体" w:cs="Times New Roman"/>
                <w:b/>
                <w:bCs/>
                <w:i w:val="0"/>
                <w:color w:val="000000"/>
                <w:kern w:val="0"/>
                <w:sz w:val="20"/>
                <w:szCs w:val="20"/>
                <w:highlight w:val="none"/>
                <w:u w:val="none"/>
                <w:lang w:val="en-US" w:eastAsia="zh-CN" w:bidi="ar"/>
              </w:rPr>
              <w:t>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auto"/>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202</w:t>
            </w:r>
            <w:r>
              <w:rPr>
                <w:rFonts w:hint="eastAsia" w:ascii="Times New Roman" w:hAnsi="Times New Roman" w:eastAsia="宋体" w:cs="Times New Roman"/>
                <w:b/>
                <w:bCs/>
                <w:i w:val="0"/>
                <w:color w:val="000000"/>
                <w:kern w:val="0"/>
                <w:sz w:val="20"/>
                <w:szCs w:val="20"/>
                <w:highlight w:val="none"/>
                <w:u w:val="none"/>
                <w:lang w:val="en-US" w:eastAsia="zh-CN" w:bidi="ar"/>
              </w:rPr>
              <w:t>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auto"/>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w:t>
            </w:r>
          </w:p>
        </w:tc>
        <w:tc>
          <w:tcPr>
            <w:tcW w:w="3790" w:type="dxa"/>
            <w:vMerge w:val="restart"/>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社会保险基金支出合计</w:t>
            </w:r>
          </w:p>
        </w:tc>
        <w:tc>
          <w:tcPr>
            <w:tcW w:w="149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5400.51</w:t>
            </w:r>
          </w:p>
        </w:tc>
        <w:tc>
          <w:tcPr>
            <w:tcW w:w="144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5788.49</w:t>
            </w:r>
          </w:p>
        </w:tc>
        <w:tc>
          <w:tcPr>
            <w:tcW w:w="141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107.18%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exact"/>
          <w:jc w:val="center"/>
        </w:trPr>
        <w:tc>
          <w:tcPr>
            <w:tcW w:w="1393" w:type="dxa"/>
            <w:vMerge w:val="continue"/>
            <w:tcBorders>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20901</w:t>
            </w:r>
          </w:p>
        </w:tc>
        <w:tc>
          <w:tcPr>
            <w:tcW w:w="37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一、企业职工基本养老保险基金支出</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2090101</w:t>
            </w:r>
          </w:p>
        </w:tc>
        <w:tc>
          <w:tcPr>
            <w:tcW w:w="37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其中:基本养老金</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20911</w:t>
            </w:r>
          </w:p>
        </w:tc>
        <w:tc>
          <w:tcPr>
            <w:tcW w:w="37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二、机关事业基本养老保险基金支出</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lang w:val="en-US" w:eastAsia="zh-C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lang w:val="en-US" w:eastAsia="zh-C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2091101</w:t>
            </w:r>
          </w:p>
        </w:tc>
        <w:tc>
          <w:tcPr>
            <w:tcW w:w="37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其中:基本养老金支出</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lang w:val="en-US" w:eastAsia="zh-C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lang w:val="en-US" w:eastAsia="zh-C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20910</w:t>
            </w:r>
          </w:p>
        </w:tc>
        <w:tc>
          <w:tcPr>
            <w:tcW w:w="37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三、城乡居民基本养老保险基金支出</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5400.51</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5788.49</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107.18%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2091001</w:t>
            </w:r>
          </w:p>
        </w:tc>
        <w:tc>
          <w:tcPr>
            <w:tcW w:w="37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其中:基础养老金支出</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5368.86</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5754.33</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lang w:val="en-US" w:eastAsia="zh-CN"/>
              </w:rPr>
            </w:pPr>
            <w:r>
              <w:rPr>
                <w:rFonts w:hint="default" w:ascii="Times New Roman" w:hAnsi="Times New Roman" w:eastAsia="宋体" w:cs="Times New Roman"/>
                <w:i w:val="0"/>
                <w:iCs w:val="0"/>
                <w:color w:val="000000"/>
                <w:kern w:val="0"/>
                <w:sz w:val="21"/>
                <w:szCs w:val="21"/>
                <w:u w:val="none"/>
                <w:lang w:val="en-US" w:eastAsia="zh-CN" w:bidi="ar"/>
              </w:rPr>
              <w:t>107.18%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20903</w:t>
            </w:r>
          </w:p>
        </w:tc>
        <w:tc>
          <w:tcPr>
            <w:tcW w:w="37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四、职工基本医疗保险基金支出</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2090301</w:t>
            </w:r>
          </w:p>
        </w:tc>
        <w:tc>
          <w:tcPr>
            <w:tcW w:w="3790"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其中:职工基本医疗保险统筹基金</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2090302</w:t>
            </w:r>
          </w:p>
        </w:tc>
        <w:tc>
          <w:tcPr>
            <w:tcW w:w="3790"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职工基本医疗保险个人账户基金</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20912</w:t>
            </w:r>
          </w:p>
        </w:tc>
        <w:tc>
          <w:tcPr>
            <w:tcW w:w="3790" w:type="dxa"/>
            <w:vMerge w:val="restart"/>
            <w:tcBorders>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五、城乡居民基本医疗保险基金支出</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2091201</w:t>
            </w:r>
          </w:p>
        </w:tc>
        <w:tc>
          <w:tcPr>
            <w:tcW w:w="3790"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其中:城乡居民基本医疗保险基金医疗待遇支出</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2091202</w:t>
            </w:r>
          </w:p>
        </w:tc>
        <w:tc>
          <w:tcPr>
            <w:tcW w:w="3790"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城乡居民大病保险支出</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20904</w:t>
            </w:r>
          </w:p>
        </w:tc>
        <w:tc>
          <w:tcPr>
            <w:tcW w:w="3790"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六、工伤保险基金支出</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2090401</w:t>
            </w:r>
          </w:p>
        </w:tc>
        <w:tc>
          <w:tcPr>
            <w:tcW w:w="3790"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其中:工伤保险待遇</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20902</w:t>
            </w:r>
          </w:p>
        </w:tc>
        <w:tc>
          <w:tcPr>
            <w:tcW w:w="3790"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七、失业保险基金支出</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rPr>
            </w:pPr>
          </w:p>
        </w:tc>
        <w:tc>
          <w:tcPr>
            <w:tcW w:w="3790"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rPr>
            </w:pPr>
            <w:r>
              <w:rPr>
                <w:rFonts w:hint="default" w:ascii="Times New Roman" w:hAnsi="Times New Roman" w:cs="Times New Roman"/>
                <w:lang w:val="en-US" w:eastAsia="zh-CN"/>
              </w:rPr>
              <w:t>2090201</w:t>
            </w:r>
          </w:p>
        </w:tc>
        <w:tc>
          <w:tcPr>
            <w:tcW w:w="3790"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  其中:失业保险金</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790" w:type="dxa"/>
            <w:vMerge w:val="continue"/>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w:t>
            </w:r>
          </w:p>
        </w:tc>
        <w:tc>
          <w:tcPr>
            <w:tcW w:w="3790"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社会保险基金支出合计</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3790"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u w:val="none"/>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bl>
    <w:p>
      <w:pPr>
        <w:pStyle w:val="7"/>
        <w:rPr>
          <w:rFonts w:hint="default" w:ascii="Times New Roman" w:hAnsi="Times New Roman" w:cs="Times New Roman"/>
          <w:highlight w:val="none"/>
          <w:lang w:val="en-US" w:eastAsia="zh-Hans"/>
        </w:rPr>
      </w:pPr>
    </w:p>
    <w:p>
      <w:pPr>
        <w:pStyle w:val="7"/>
        <w:rPr>
          <w:rFonts w:hint="default" w:ascii="Times New Roman" w:hAnsi="Times New Roman" w:cs="Times New Roman"/>
          <w:highlight w:val="none"/>
          <w:lang w:val="en-US" w:eastAsia="zh-Hans"/>
        </w:rPr>
      </w:pPr>
    </w:p>
    <w:tbl>
      <w:tblPr>
        <w:tblStyle w:val="8"/>
        <w:tblpPr w:leftFromText="180" w:rightFromText="180" w:vertAnchor="text" w:horzAnchor="page" w:tblpXSpec="center" w:tblpY="312"/>
        <w:tblOverlap w:val="never"/>
        <w:tblW w:w="94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93"/>
        <w:gridCol w:w="3327"/>
        <w:gridCol w:w="1620"/>
        <w:gridCol w:w="1730"/>
        <w:gridCol w:w="1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9400" w:type="dxa"/>
            <w:gridSpan w:val="5"/>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color w:val="000000"/>
                <w:kern w:val="0"/>
                <w:sz w:val="20"/>
                <w:szCs w:val="20"/>
                <w:u w:val="none"/>
                <w:lang w:val="en-US" w:eastAsia="zh-Hans" w:bidi="ar"/>
              </w:rPr>
            </w:pPr>
            <w:r>
              <w:rPr>
                <w:rFonts w:hint="default" w:ascii="Times New Roman" w:hAnsi="Times New Roman" w:cs="Times New Roman"/>
                <w:b w:val="0"/>
                <w:bCs w:val="0"/>
                <w:i w:val="0"/>
                <w:color w:val="000000"/>
                <w:kern w:val="0"/>
                <w:sz w:val="20"/>
                <w:szCs w:val="20"/>
                <w:u w:val="none"/>
                <w:lang w:val="en-US" w:eastAsia="zh-Hans" w:bidi="ar"/>
              </w:rPr>
              <w:t>表</w:t>
            </w:r>
            <w:r>
              <w:rPr>
                <w:rFonts w:hint="default" w:ascii="Times New Roman" w:hAnsi="Times New Roman" w:cs="Times New Roman"/>
                <w:b w:val="0"/>
                <w:bCs w:val="0"/>
                <w:i w:val="0"/>
                <w:color w:val="000000"/>
                <w:kern w:val="0"/>
                <w:sz w:val="20"/>
                <w:szCs w:val="20"/>
                <w:u w:val="none"/>
                <w:lang w:eastAsia="zh-Hans"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9400" w:type="dxa"/>
            <w:gridSpan w:val="5"/>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eastAsia" w:cs="Times New Roman"/>
                <w:b/>
                <w:i w:val="0"/>
                <w:color w:val="000000"/>
                <w:kern w:val="0"/>
                <w:sz w:val="20"/>
                <w:szCs w:val="20"/>
                <w:u w:val="none"/>
                <w:lang w:val="en-US" w:eastAsia="zh-CN" w:bidi="ar"/>
              </w:rPr>
              <w:t>6</w:t>
            </w:r>
            <w:r>
              <w:rPr>
                <w:rFonts w:hint="default" w:ascii="Times New Roman" w:hAnsi="Times New Roman" w:eastAsia="宋体" w:cs="Times New Roman"/>
                <w:b/>
                <w:i w:val="0"/>
                <w:color w:val="000000"/>
                <w:kern w:val="0"/>
                <w:sz w:val="20"/>
                <w:szCs w:val="20"/>
                <w:u w:val="none"/>
                <w:lang w:val="en-US" w:eastAsia="zh-CN" w:bidi="ar"/>
              </w:rPr>
              <w:t>年</w:t>
            </w:r>
            <w:r>
              <w:rPr>
                <w:rFonts w:hint="eastAsia"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社会保险基金预算</w:t>
            </w:r>
            <w:r>
              <w:rPr>
                <w:rFonts w:hint="default" w:ascii="Times New Roman" w:hAnsi="Times New Roman" w:cs="Times New Roman"/>
                <w:b/>
                <w:i w:val="0"/>
                <w:color w:val="000000"/>
                <w:kern w:val="0"/>
                <w:sz w:val="20"/>
                <w:szCs w:val="20"/>
                <w:u w:val="none"/>
                <w:lang w:val="en-US" w:eastAsia="zh-CN" w:bidi="ar"/>
              </w:rPr>
              <w:t>结余</w:t>
            </w:r>
            <w:r>
              <w:rPr>
                <w:rFonts w:hint="default" w:ascii="Times New Roman" w:hAnsi="Times New Roman" w:eastAsia="宋体" w:cs="Times New Roman"/>
                <w:b/>
                <w:i w:val="0"/>
                <w:color w:val="000000"/>
                <w:kern w:val="0"/>
                <w:sz w:val="20"/>
                <w:szCs w:val="20"/>
                <w:u w:val="none"/>
                <w:lang w:val="en-US" w:eastAsia="zh-CN" w:bidi="ar"/>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jc w:val="center"/>
        </w:trPr>
        <w:tc>
          <w:tcPr>
            <w:tcW w:w="1393"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3327"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20"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730"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330" w:type="dxa"/>
            <w:shd w:val="clear" w:color="auto"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5" w:hRule="atLeast"/>
          <w:jc w:val="center"/>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332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项 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年年末累计结余预计数</w:t>
            </w: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6</w:t>
            </w:r>
            <w:r>
              <w:rPr>
                <w:rFonts w:hint="default" w:ascii="Times New Roman" w:hAnsi="Times New Roman" w:eastAsia="宋体" w:cs="Times New Roman"/>
                <w:b/>
                <w:bCs/>
                <w:i w:val="0"/>
                <w:color w:val="000000"/>
                <w:kern w:val="0"/>
                <w:sz w:val="20"/>
                <w:szCs w:val="20"/>
                <w:u w:val="none"/>
                <w:lang w:val="en-US" w:eastAsia="zh-CN" w:bidi="ar"/>
              </w:rPr>
              <w:t>年年末累计结余预算数</w:t>
            </w: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预算数为上年预计数的%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color w:val="000000"/>
                <w:kern w:val="0"/>
                <w:sz w:val="20"/>
                <w:szCs w:val="20"/>
                <w:u w:val="none"/>
                <w:lang w:val="en-US" w:eastAsia="zh-CN" w:bidi="ar"/>
              </w:rPr>
              <w:t>2</w:t>
            </w:r>
            <w:r>
              <w:rPr>
                <w:rFonts w:hint="default" w:ascii="Times New Roman" w:hAnsi="Times New Roman" w:cs="Times New Roman"/>
                <w:i w:val="0"/>
                <w:color w:val="000000"/>
                <w:kern w:val="0"/>
                <w:sz w:val="20"/>
                <w:szCs w:val="20"/>
                <w:u w:val="none"/>
                <w:lang w:val="en-US" w:eastAsia="zh-CN" w:bidi="ar"/>
              </w:rPr>
              <w:t>3009</w:t>
            </w:r>
          </w:p>
        </w:tc>
        <w:tc>
          <w:tcPr>
            <w:tcW w:w="3327" w:type="dxa"/>
            <w:vMerge w:val="restart"/>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社会保险基金</w:t>
            </w:r>
            <w:r>
              <w:rPr>
                <w:rFonts w:hint="default" w:ascii="Times New Roman" w:hAnsi="Times New Roman" w:cs="Times New Roman"/>
                <w:i w:val="0"/>
                <w:color w:val="000000"/>
                <w:kern w:val="0"/>
                <w:sz w:val="20"/>
                <w:szCs w:val="20"/>
                <w:u w:val="none"/>
                <w:lang w:val="en-US" w:eastAsia="zh-CN" w:bidi="ar"/>
              </w:rPr>
              <w:t>年终结余</w:t>
            </w:r>
            <w:r>
              <w:rPr>
                <w:rFonts w:hint="default" w:ascii="Times New Roman" w:hAnsi="Times New Roman" w:eastAsia="宋体" w:cs="Times New Roman"/>
                <w:i w:val="0"/>
                <w:color w:val="000000"/>
                <w:kern w:val="0"/>
                <w:sz w:val="20"/>
                <w:szCs w:val="20"/>
                <w:u w:val="none"/>
                <w:lang w:val="en-US" w:eastAsia="zh-CN" w:bidi="ar"/>
              </w:rPr>
              <w:t>合计</w:t>
            </w:r>
          </w:p>
        </w:tc>
        <w:tc>
          <w:tcPr>
            <w:tcW w:w="162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32598.25</w:t>
            </w:r>
          </w:p>
        </w:tc>
        <w:tc>
          <w:tcPr>
            <w:tcW w:w="173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29632.98</w:t>
            </w:r>
          </w:p>
        </w:tc>
        <w:tc>
          <w:tcPr>
            <w:tcW w:w="133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90.90%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393" w:type="dxa"/>
            <w:vMerge w:val="continue"/>
            <w:tcBorders>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27" w:type="dxa"/>
            <w:vMerge w:val="continue"/>
            <w:tcBorders>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620" w:type="dxa"/>
            <w:vMerge w:val="continue"/>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continue"/>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continue"/>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2300911</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一、企业职工基本养老保险基金</w:t>
            </w:r>
            <w:r>
              <w:rPr>
                <w:rFonts w:hint="default" w:ascii="Times New Roman" w:hAnsi="Times New Roman" w:cs="Times New Roman"/>
                <w:i w:val="0"/>
                <w:color w:val="000000"/>
                <w:kern w:val="0"/>
                <w:sz w:val="20"/>
                <w:szCs w:val="20"/>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2300916</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二、机关事业基本养老保险基金</w:t>
            </w:r>
            <w:r>
              <w:rPr>
                <w:rFonts w:hint="default" w:ascii="Times New Roman" w:hAnsi="Times New Roman" w:cs="Times New Roman"/>
                <w:i w:val="0"/>
                <w:color w:val="000000"/>
                <w:kern w:val="0"/>
                <w:sz w:val="20"/>
                <w:szCs w:val="20"/>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lang w:val="en-US" w:eastAsia="zh-CN"/>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lang w:val="en-US" w:eastAsia="zh-CN"/>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2300915</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三</w:t>
            </w:r>
            <w:r>
              <w:rPr>
                <w:rFonts w:hint="default" w:ascii="Times New Roman" w:hAnsi="Times New Roman" w:eastAsia="宋体" w:cs="Times New Roman"/>
                <w:i w:val="0"/>
                <w:color w:val="000000"/>
                <w:kern w:val="0"/>
                <w:sz w:val="20"/>
                <w:szCs w:val="20"/>
                <w:u w:val="none"/>
                <w:lang w:val="en-US" w:eastAsia="zh-CN" w:bidi="ar"/>
              </w:rPr>
              <w:t>、</w:t>
            </w:r>
            <w:r>
              <w:rPr>
                <w:rFonts w:hint="default" w:ascii="Times New Roman" w:hAnsi="Times New Roman" w:cs="Times New Roman"/>
                <w:i w:val="0"/>
                <w:color w:val="000000"/>
                <w:kern w:val="0"/>
                <w:sz w:val="20"/>
                <w:szCs w:val="20"/>
                <w:u w:val="none"/>
                <w:lang w:val="en-US" w:eastAsia="zh-CN" w:bidi="ar"/>
              </w:rPr>
              <w:t>城乡居民</w:t>
            </w:r>
            <w:r>
              <w:rPr>
                <w:rFonts w:hint="default" w:ascii="Times New Roman" w:hAnsi="Times New Roman" w:eastAsia="宋体" w:cs="Times New Roman"/>
                <w:i w:val="0"/>
                <w:color w:val="000000"/>
                <w:kern w:val="0"/>
                <w:sz w:val="20"/>
                <w:szCs w:val="20"/>
                <w:u w:val="none"/>
                <w:lang w:val="en-US" w:eastAsia="zh-CN" w:bidi="ar"/>
              </w:rPr>
              <w:t>基本养老保险基金</w:t>
            </w:r>
            <w:r>
              <w:rPr>
                <w:rFonts w:hint="default" w:ascii="Times New Roman" w:hAnsi="Times New Roman" w:cs="Times New Roman"/>
                <w:i w:val="0"/>
                <w:color w:val="000000"/>
                <w:kern w:val="0"/>
                <w:sz w:val="20"/>
                <w:szCs w:val="20"/>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32598.25</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29632.98</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90.90%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2300913</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eastAsia="zh-CN"/>
              </w:rPr>
            </w:pPr>
            <w:r>
              <w:rPr>
                <w:rFonts w:hint="default" w:ascii="Times New Roman" w:hAnsi="Times New Roman" w:cs="Times New Roman"/>
                <w:i w:val="0"/>
                <w:color w:val="000000"/>
                <w:sz w:val="20"/>
                <w:szCs w:val="20"/>
                <w:u w:val="none"/>
                <w:lang w:eastAsia="zh-CN"/>
              </w:rPr>
              <w:t>四、职工基本医疗保险基金年终结余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2300917</w:t>
            </w:r>
          </w:p>
        </w:tc>
        <w:tc>
          <w:tcPr>
            <w:tcW w:w="3327"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五、城乡居民基本医疗保险基金年终结余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2300914</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六</w:t>
            </w:r>
            <w:r>
              <w:rPr>
                <w:rFonts w:hint="default" w:ascii="Times New Roman" w:hAnsi="Times New Roman" w:eastAsia="宋体" w:cs="Times New Roman"/>
                <w:i w:val="0"/>
                <w:color w:val="000000"/>
                <w:kern w:val="0"/>
                <w:sz w:val="20"/>
                <w:szCs w:val="20"/>
                <w:u w:val="none"/>
                <w:lang w:val="en-US" w:eastAsia="zh-CN" w:bidi="ar"/>
              </w:rPr>
              <w:t>、</w:t>
            </w:r>
            <w:r>
              <w:rPr>
                <w:rFonts w:hint="default" w:ascii="Times New Roman" w:hAnsi="Times New Roman" w:cs="Times New Roman"/>
                <w:i w:val="0"/>
                <w:color w:val="000000"/>
                <w:kern w:val="0"/>
                <w:sz w:val="20"/>
                <w:szCs w:val="20"/>
                <w:u w:val="none"/>
                <w:lang w:val="en-US" w:eastAsia="zh-CN" w:bidi="ar"/>
              </w:rPr>
              <w:t>工伤保险基金年终结余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2" w:hRule="atLeast"/>
          <w:jc w:val="center"/>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2300912</w:t>
            </w:r>
          </w:p>
        </w:tc>
        <w:tc>
          <w:tcPr>
            <w:tcW w:w="3327"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eastAsia="zh-CN"/>
              </w:rPr>
            </w:pPr>
            <w:r>
              <w:rPr>
                <w:rFonts w:hint="default" w:ascii="Times New Roman" w:hAnsi="Times New Roman" w:cs="Times New Roman"/>
                <w:i w:val="0"/>
                <w:color w:val="000000"/>
                <w:sz w:val="20"/>
                <w:szCs w:val="20"/>
                <w:u w:val="none"/>
                <w:lang w:eastAsia="zh-CN"/>
              </w:rPr>
              <w:t>七、失业保险基金年终结余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r>
    </w:tbl>
    <w:p>
      <w:pPr>
        <w:wordWrap/>
        <w:jc w:val="left"/>
        <w:rPr>
          <w:rFonts w:hint="default" w:ascii="Times New Roman" w:hAnsi="Times New Roman" w:cs="Times New Roman"/>
          <w:b w:val="0"/>
          <w:bCs w:val="0"/>
          <w:sz w:val="22"/>
          <w:szCs w:val="22"/>
          <w:highlight w:val="none"/>
          <w:lang w:eastAsia="zh-Hans"/>
        </w:rPr>
      </w:pPr>
    </w:p>
    <w:p>
      <w:pPr>
        <w:jc w:val="left"/>
        <w:rPr>
          <w:rFonts w:hint="default" w:ascii="Times New Roman" w:hAnsi="Times New Roman" w:cs="Times New Roman"/>
          <w:b w:val="0"/>
          <w:bCs w:val="0"/>
          <w:sz w:val="22"/>
          <w:szCs w:val="22"/>
          <w:highlight w:val="none"/>
          <w:lang w:val="en-US" w:eastAsia="zh-Hans"/>
        </w:rPr>
      </w:pPr>
    </w:p>
    <w:p>
      <w:pPr>
        <w:pStyle w:val="3"/>
        <w:rPr>
          <w:rFonts w:hint="default" w:ascii="Times New Roman" w:hAnsi="Times New Roman" w:cs="Times New Roman"/>
          <w:b w:val="0"/>
          <w:bCs w:val="0"/>
          <w:sz w:val="22"/>
          <w:szCs w:val="22"/>
          <w:highlight w:val="none"/>
          <w:lang w:val="en-US" w:eastAsia="zh-Hans"/>
        </w:rPr>
      </w:pPr>
    </w:p>
    <w:p>
      <w:pPr>
        <w:rPr>
          <w:rFonts w:hint="default" w:ascii="Times New Roman" w:hAnsi="Times New Roman" w:cs="Times New Roman"/>
          <w:b w:val="0"/>
          <w:bCs w:val="0"/>
          <w:sz w:val="22"/>
          <w:szCs w:val="22"/>
          <w:highlight w:val="none"/>
          <w:lang w:val="en-US" w:eastAsia="zh-Hans"/>
        </w:rPr>
      </w:pPr>
    </w:p>
    <w:p>
      <w:pPr>
        <w:pStyle w:val="3"/>
        <w:rPr>
          <w:rFonts w:hint="default" w:ascii="Times New Roman" w:hAnsi="Times New Roman" w:cs="Times New Roman"/>
          <w:b w:val="0"/>
          <w:bCs w:val="0"/>
          <w:sz w:val="22"/>
          <w:szCs w:val="22"/>
          <w:highlight w:val="none"/>
          <w:lang w:val="en-US" w:eastAsia="zh-Hans"/>
        </w:rPr>
      </w:pPr>
    </w:p>
    <w:p>
      <w:pPr>
        <w:rPr>
          <w:rFonts w:hint="default" w:ascii="Times New Roman" w:hAnsi="Times New Roman" w:cs="Times New Roman"/>
          <w:b w:val="0"/>
          <w:bCs w:val="0"/>
          <w:sz w:val="22"/>
          <w:szCs w:val="22"/>
          <w:highlight w:val="none"/>
          <w:lang w:val="en-US" w:eastAsia="zh-Hans"/>
        </w:rPr>
      </w:pPr>
    </w:p>
    <w:p>
      <w:pPr>
        <w:pStyle w:val="7"/>
        <w:rPr>
          <w:rFonts w:hint="default" w:ascii="Times New Roman" w:hAnsi="Times New Roman" w:cs="Times New Roman"/>
          <w:b w:val="0"/>
          <w:bCs w:val="0"/>
          <w:sz w:val="22"/>
          <w:szCs w:val="22"/>
          <w:highlight w:val="none"/>
          <w:lang w:val="en-US" w:eastAsia="zh-Hans"/>
        </w:rPr>
      </w:pPr>
    </w:p>
    <w:p>
      <w:pPr>
        <w:pStyle w:val="7"/>
        <w:rPr>
          <w:rFonts w:hint="default" w:ascii="Times New Roman" w:hAnsi="Times New Roman" w:cs="Times New Roman"/>
          <w:b w:val="0"/>
          <w:bCs w:val="0"/>
          <w:sz w:val="22"/>
          <w:szCs w:val="22"/>
          <w:highlight w:val="none"/>
          <w:lang w:val="en-US" w:eastAsia="zh-Hans"/>
        </w:rPr>
      </w:pPr>
    </w:p>
    <w:p>
      <w:pPr>
        <w:rPr>
          <w:rFonts w:hint="default" w:ascii="Times New Roman" w:hAnsi="Times New Roman" w:cs="Times New Roman"/>
          <w:b w:val="0"/>
          <w:bCs w:val="0"/>
          <w:sz w:val="22"/>
          <w:szCs w:val="22"/>
          <w:highlight w:val="none"/>
          <w:lang w:val="en-US" w:eastAsia="zh-Hans"/>
        </w:rPr>
      </w:pPr>
    </w:p>
    <w:p>
      <w:pPr>
        <w:pStyle w:val="3"/>
        <w:rPr>
          <w:rFonts w:hint="default" w:ascii="Times New Roman" w:hAnsi="Times New Roman" w:cs="Times New Roman"/>
          <w:b w:val="0"/>
          <w:bCs w:val="0"/>
          <w:sz w:val="22"/>
          <w:szCs w:val="22"/>
          <w:highlight w:val="none"/>
          <w:lang w:val="en-US" w:eastAsia="zh-Hans"/>
        </w:rPr>
      </w:pPr>
    </w:p>
    <w:p>
      <w:pPr>
        <w:rPr>
          <w:rFonts w:hint="default" w:ascii="Times New Roman" w:hAnsi="Times New Roman" w:cs="Times New Roman"/>
          <w:b w:val="0"/>
          <w:bCs w:val="0"/>
          <w:sz w:val="22"/>
          <w:szCs w:val="22"/>
          <w:highlight w:val="none"/>
          <w:lang w:val="en-US" w:eastAsia="zh-Hans"/>
        </w:rPr>
      </w:pPr>
    </w:p>
    <w:p>
      <w:pPr>
        <w:pStyle w:val="3"/>
        <w:rPr>
          <w:rFonts w:hint="default" w:ascii="Times New Roman" w:hAnsi="Times New Roman" w:cs="Times New Roman"/>
          <w:b w:val="0"/>
          <w:bCs w:val="0"/>
          <w:sz w:val="22"/>
          <w:szCs w:val="22"/>
          <w:highlight w:val="none"/>
          <w:lang w:val="en-US" w:eastAsia="zh-Hans"/>
        </w:rPr>
      </w:pPr>
    </w:p>
    <w:p>
      <w:pPr>
        <w:rPr>
          <w:rFonts w:hint="default" w:ascii="Times New Roman" w:hAnsi="Times New Roman" w:cs="Times New Roman"/>
          <w:b w:val="0"/>
          <w:bCs w:val="0"/>
          <w:sz w:val="22"/>
          <w:szCs w:val="22"/>
          <w:highlight w:val="none"/>
          <w:lang w:val="en-US" w:eastAsia="zh-Hans"/>
        </w:rPr>
      </w:pPr>
    </w:p>
    <w:p>
      <w:pPr>
        <w:pStyle w:val="3"/>
        <w:rPr>
          <w:rFonts w:hint="default" w:ascii="Times New Roman" w:hAnsi="Times New Roman" w:cs="Times New Roman"/>
          <w:b w:val="0"/>
          <w:bCs w:val="0"/>
          <w:sz w:val="22"/>
          <w:szCs w:val="22"/>
          <w:highlight w:val="none"/>
          <w:lang w:val="en-US" w:eastAsia="zh-Hans"/>
        </w:rPr>
      </w:pPr>
    </w:p>
    <w:p>
      <w:pPr>
        <w:rPr>
          <w:rFonts w:hint="default" w:ascii="Times New Roman" w:hAnsi="Times New Roman" w:cs="Times New Roman"/>
          <w:b w:val="0"/>
          <w:bCs w:val="0"/>
          <w:sz w:val="22"/>
          <w:szCs w:val="22"/>
          <w:highlight w:val="none"/>
          <w:lang w:val="en-US" w:eastAsia="zh-Hans"/>
        </w:rPr>
      </w:pPr>
    </w:p>
    <w:p>
      <w:pPr>
        <w:pStyle w:val="3"/>
        <w:rPr>
          <w:rFonts w:hint="default" w:ascii="Times New Roman" w:hAnsi="Times New Roman" w:cs="Times New Roman"/>
          <w:b w:val="0"/>
          <w:bCs w:val="0"/>
          <w:sz w:val="22"/>
          <w:szCs w:val="22"/>
          <w:highlight w:val="none"/>
          <w:lang w:val="en-US" w:eastAsia="zh-Hans"/>
        </w:rPr>
      </w:pPr>
    </w:p>
    <w:p>
      <w:pPr>
        <w:rPr>
          <w:rFonts w:hint="default" w:ascii="Times New Roman" w:hAnsi="Times New Roman" w:cs="Times New Roman"/>
          <w:b w:val="0"/>
          <w:bCs w:val="0"/>
          <w:sz w:val="22"/>
          <w:szCs w:val="22"/>
          <w:highlight w:val="none"/>
          <w:lang w:val="en-US" w:eastAsia="zh-Hans"/>
        </w:rPr>
      </w:pPr>
    </w:p>
    <w:p>
      <w:pPr>
        <w:pStyle w:val="3"/>
        <w:rPr>
          <w:rFonts w:hint="default" w:ascii="Times New Roman" w:hAnsi="Times New Roman" w:cs="Times New Roman"/>
          <w:b w:val="0"/>
          <w:bCs w:val="0"/>
          <w:sz w:val="22"/>
          <w:szCs w:val="22"/>
          <w:highlight w:val="none"/>
          <w:lang w:val="en-US" w:eastAsia="zh-Hans"/>
        </w:rPr>
      </w:pPr>
    </w:p>
    <w:p>
      <w:pPr>
        <w:rPr>
          <w:rFonts w:hint="default" w:ascii="Times New Roman" w:hAnsi="Times New Roman" w:cs="Times New Roman"/>
          <w:b w:val="0"/>
          <w:bCs w:val="0"/>
          <w:sz w:val="22"/>
          <w:szCs w:val="22"/>
          <w:highlight w:val="none"/>
          <w:lang w:val="en-US" w:eastAsia="zh-Hans"/>
        </w:rPr>
      </w:pPr>
    </w:p>
    <w:p>
      <w:pPr>
        <w:rPr>
          <w:rFonts w:hint="default"/>
          <w:lang w:val="en-US" w:eastAsia="zh-Hans"/>
        </w:rPr>
      </w:pPr>
    </w:p>
    <w:tbl>
      <w:tblPr>
        <w:tblStyle w:val="8"/>
        <w:tblW w:w="92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34"/>
        <w:gridCol w:w="4140"/>
        <w:gridCol w:w="1395"/>
        <w:gridCol w:w="1461"/>
        <w:gridCol w:w="14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834"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表2</w:t>
            </w:r>
            <w:r>
              <w:rPr>
                <w:rFonts w:hint="default" w:ascii="Times New Roman" w:hAnsi="Times New Roman" w:cs="Times New Roman"/>
                <w:i w:val="0"/>
                <w:color w:val="000000"/>
                <w:kern w:val="0"/>
                <w:sz w:val="20"/>
                <w:szCs w:val="20"/>
                <w:u w:val="none"/>
                <w:lang w:eastAsia="zh-CN" w:bidi="ar"/>
              </w:rPr>
              <w:t>4</w:t>
            </w:r>
          </w:p>
        </w:tc>
        <w:tc>
          <w:tcPr>
            <w:tcW w:w="4140" w:type="dxa"/>
            <w:noWrap w:val="0"/>
            <w:vAlign w:val="center"/>
          </w:tcPr>
          <w:p>
            <w:pPr>
              <w:rPr>
                <w:rFonts w:hint="default" w:ascii="Times New Roman" w:hAnsi="Times New Roman" w:eastAsia="宋体" w:cs="Times New Roman"/>
                <w:i w:val="0"/>
                <w:color w:val="000000"/>
                <w:sz w:val="24"/>
                <w:szCs w:val="24"/>
                <w:u w:val="none"/>
              </w:rPr>
            </w:pPr>
          </w:p>
        </w:tc>
        <w:tc>
          <w:tcPr>
            <w:tcW w:w="1395" w:type="dxa"/>
            <w:noWrap w:val="0"/>
            <w:vAlign w:val="center"/>
          </w:tcPr>
          <w:p>
            <w:pPr>
              <w:rPr>
                <w:rFonts w:hint="default" w:ascii="Times New Roman" w:hAnsi="Times New Roman" w:eastAsia="宋体" w:cs="Times New Roman"/>
                <w:i w:val="0"/>
                <w:color w:val="000000"/>
                <w:sz w:val="24"/>
                <w:szCs w:val="24"/>
                <w:u w:val="none"/>
              </w:rPr>
            </w:pPr>
          </w:p>
        </w:tc>
        <w:tc>
          <w:tcPr>
            <w:tcW w:w="1461" w:type="dxa"/>
            <w:noWrap w:val="0"/>
            <w:vAlign w:val="center"/>
          </w:tcPr>
          <w:p>
            <w:pPr>
              <w:rPr>
                <w:rFonts w:hint="default" w:ascii="Times New Roman" w:hAnsi="Times New Roman" w:eastAsia="宋体" w:cs="Times New Roman"/>
                <w:i w:val="0"/>
                <w:color w:val="000000"/>
                <w:sz w:val="24"/>
                <w:szCs w:val="24"/>
                <w:u w:val="none"/>
              </w:rPr>
            </w:pPr>
          </w:p>
        </w:tc>
        <w:tc>
          <w:tcPr>
            <w:tcW w:w="1440" w:type="dxa"/>
            <w:noWrap w:val="0"/>
            <w:vAlign w:val="center"/>
          </w:tcPr>
          <w:p>
            <w:pPr>
              <w:rPr>
                <w:rFonts w:hint="default" w:ascii="Times New Roman" w:hAnsi="Times New Roman" w:eastAsia="宋体"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95" w:hRule="atLeast"/>
          <w:jc w:val="center"/>
        </w:trPr>
        <w:tc>
          <w:tcPr>
            <w:tcW w:w="9270"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eastAsia" w:cs="Times New Roman"/>
                <w:b/>
                <w:i w:val="0"/>
                <w:color w:val="000000"/>
                <w:kern w:val="0"/>
                <w:sz w:val="20"/>
                <w:szCs w:val="20"/>
                <w:u w:val="none"/>
                <w:lang w:val="en-US" w:eastAsia="zh-CN" w:bidi="ar"/>
              </w:rPr>
              <w:t>6</w:t>
            </w:r>
            <w:r>
              <w:rPr>
                <w:rFonts w:hint="default" w:ascii="Times New Roman" w:hAnsi="Times New Roman" w:eastAsia="宋体" w:cs="Times New Roman"/>
                <w:b/>
                <w:i w:val="0"/>
                <w:color w:val="000000"/>
                <w:kern w:val="0"/>
                <w:sz w:val="20"/>
                <w:szCs w:val="20"/>
                <w:u w:val="none"/>
                <w:lang w:val="en-US" w:eastAsia="zh-CN" w:bidi="ar"/>
              </w:rPr>
              <w:t>年</w:t>
            </w:r>
            <w:r>
              <w:rPr>
                <w:rFonts w:hint="eastAsia"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本级社会保险基金预算收入表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0" w:hRule="atLeast"/>
          <w:jc w:val="center"/>
        </w:trPr>
        <w:tc>
          <w:tcPr>
            <w:tcW w:w="834"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4140"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395"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61"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40" w:type="dxa"/>
            <w:shd w:val="clear" w:color="auto"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jc w:val="center"/>
        </w:trPr>
        <w:tc>
          <w:tcPr>
            <w:tcW w:w="8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4140" w:type="dxa"/>
            <w:tcBorders>
              <w:top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项目</w:t>
            </w:r>
          </w:p>
        </w:tc>
        <w:tc>
          <w:tcPr>
            <w:tcW w:w="1395"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w:t>
            </w: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w:t>
            </w:r>
          </w:p>
        </w:tc>
        <w:tc>
          <w:tcPr>
            <w:tcW w:w="1461"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6</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1440"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u w:val="none"/>
                <w:lang w:val="en-US" w:eastAsia="zh-CN" w:bidi="ar"/>
              </w:rPr>
            </w:pPr>
            <w:r>
              <w:rPr>
                <w:rFonts w:hint="default" w:ascii="Times New Roman" w:hAnsi="Times New Roman" w:eastAsia="宋体" w:cs="Times New Roman"/>
                <w:b/>
                <w:bCs/>
                <w:i w:val="0"/>
                <w:color w:val="000000"/>
                <w:kern w:val="0"/>
                <w:sz w:val="20"/>
                <w:szCs w:val="20"/>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w:t>
            </w:r>
          </w:p>
        </w:tc>
        <w:tc>
          <w:tcPr>
            <w:tcW w:w="41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社会保险基金收入合计</w:t>
            </w:r>
          </w:p>
        </w:tc>
        <w:tc>
          <w:tcPr>
            <w:tcW w:w="1395"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11263.31</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10100.21</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89.67%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p>
        </w:tc>
        <w:tc>
          <w:tcPr>
            <w:tcW w:w="4140" w:type="dxa"/>
            <w:vMerge w:val="restart"/>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其中:保险费收入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4989.91</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3796.26</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76.08%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社会保险基金财政补贴收入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812.93</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867.85</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106.76%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利息</w:t>
            </w:r>
            <w:r>
              <w:rPr>
                <w:rFonts w:hint="default" w:ascii="Times New Roman" w:hAnsi="Times New Roman" w:eastAsia="宋体" w:cs="Times New Roman"/>
                <w:i w:val="0"/>
                <w:color w:val="000000"/>
                <w:kern w:val="0"/>
                <w:sz w:val="20"/>
                <w:szCs w:val="20"/>
                <w:u w:val="none"/>
                <w:lang w:val="en-US" w:eastAsia="zh-CN" w:bidi="ar"/>
              </w:rPr>
              <w:t>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138.24</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44.9</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32.48%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一、企业职工基本养老保险基金收入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1020101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其中:企业职工基本养老保险费收入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102010</w:t>
            </w:r>
            <w:r>
              <w:rPr>
                <w:rFonts w:hint="default" w:ascii="Times New Roman" w:hAnsi="Times New Roman" w:cs="Times New Roman"/>
                <w:i w:val="0"/>
                <w:color w:val="000000"/>
                <w:kern w:val="0"/>
                <w:sz w:val="20"/>
                <w:szCs w:val="20"/>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企业职工基本养老保险基金财政补贴收入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102010</w:t>
            </w:r>
            <w:r>
              <w:rPr>
                <w:rFonts w:hint="default" w:ascii="Times New Roman" w:hAnsi="Times New Roman" w:cs="Times New Roman"/>
                <w:i w:val="0"/>
                <w:color w:val="000000"/>
                <w:kern w:val="0"/>
                <w:sz w:val="20"/>
                <w:szCs w:val="20"/>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企业职工基本养老保险基金利息收入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10211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二、机关事业基本养老保险基金收入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1021101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其中:机关事业单位基本养老保险费收入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102110</w:t>
            </w:r>
            <w:r>
              <w:rPr>
                <w:rFonts w:hint="default" w:ascii="Times New Roman" w:hAnsi="Times New Roman" w:cs="Times New Roman"/>
                <w:i w:val="0"/>
                <w:color w:val="000000"/>
                <w:kern w:val="0"/>
                <w:sz w:val="20"/>
                <w:szCs w:val="20"/>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机关事业单位基本养老保险基金财政补贴收入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102110</w:t>
            </w:r>
            <w:r>
              <w:rPr>
                <w:rFonts w:hint="default" w:ascii="Times New Roman" w:hAnsi="Times New Roman" w:cs="Times New Roman"/>
                <w:i w:val="0"/>
                <w:color w:val="000000"/>
                <w:kern w:val="0"/>
                <w:sz w:val="20"/>
                <w:szCs w:val="20"/>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机关事业单位基本养老保险基金利息收入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10210</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三、城乡居民基本养老保险基金收入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11263.31</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10100.21</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89.67%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1021001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其中:城乡居民基本养老保险费收入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4989.91</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3796.26</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76.08%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102100</w:t>
            </w:r>
            <w:r>
              <w:rPr>
                <w:rFonts w:hint="default" w:ascii="Times New Roman" w:hAnsi="Times New Roman" w:cs="Times New Roman"/>
                <w:i w:val="0"/>
                <w:color w:val="000000"/>
                <w:kern w:val="0"/>
                <w:sz w:val="20"/>
                <w:szCs w:val="20"/>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城乡居民基本养老保险基金财政补贴收入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812.93</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867.85</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106.76%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102100</w:t>
            </w:r>
            <w:r>
              <w:rPr>
                <w:rFonts w:hint="default" w:ascii="Times New Roman" w:hAnsi="Times New Roman" w:cs="Times New Roman"/>
                <w:i w:val="0"/>
                <w:color w:val="000000"/>
                <w:kern w:val="0"/>
                <w:sz w:val="20"/>
                <w:szCs w:val="20"/>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 xml:space="preserve"> 城乡居民基本养老保险基金利息收入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138.24</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44.9</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32.48%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四、职工基本医疗保险基金收入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1020301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其中:职工基本医疗保险费收入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102030</w:t>
            </w:r>
            <w:r>
              <w:rPr>
                <w:rFonts w:hint="default" w:ascii="Times New Roman" w:hAnsi="Times New Roman" w:cs="Times New Roman"/>
                <w:i w:val="0"/>
                <w:color w:val="000000"/>
                <w:kern w:val="0"/>
                <w:sz w:val="20"/>
                <w:szCs w:val="20"/>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职工基本医疗保险基金财政补贴收入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102030</w:t>
            </w:r>
            <w:r>
              <w:rPr>
                <w:rFonts w:hint="default" w:ascii="Times New Roman" w:hAnsi="Times New Roman" w:cs="Times New Roman"/>
                <w:i w:val="0"/>
                <w:color w:val="000000"/>
                <w:kern w:val="0"/>
                <w:sz w:val="20"/>
                <w:szCs w:val="20"/>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职工基本医疗保险基金利息收入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10212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五、城乡居民基本医疗保险基金收入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1021201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其中:城乡居民基本医疗保险费收入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102120</w:t>
            </w:r>
            <w:r>
              <w:rPr>
                <w:rFonts w:hint="default" w:ascii="Times New Roman" w:hAnsi="Times New Roman" w:cs="Times New Roman"/>
                <w:i w:val="0"/>
                <w:color w:val="000000"/>
                <w:kern w:val="0"/>
                <w:sz w:val="20"/>
                <w:szCs w:val="20"/>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城乡居民基本医疗保险基金财政补贴收入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102120</w:t>
            </w:r>
            <w:r>
              <w:rPr>
                <w:rFonts w:hint="default" w:ascii="Times New Roman" w:hAnsi="Times New Roman" w:cs="Times New Roman"/>
                <w:i w:val="0"/>
                <w:color w:val="000000"/>
                <w:kern w:val="0"/>
                <w:sz w:val="20"/>
                <w:szCs w:val="20"/>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城乡居民基本医疗保险基金利息收入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10204</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六、工伤保险基金收入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1020401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其中:工伤保险费收入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102040</w:t>
            </w:r>
            <w:r>
              <w:rPr>
                <w:rFonts w:hint="default" w:ascii="Times New Roman" w:hAnsi="Times New Roman" w:cs="Times New Roman"/>
                <w:i w:val="0"/>
                <w:color w:val="000000"/>
                <w:kern w:val="0"/>
                <w:sz w:val="20"/>
                <w:szCs w:val="20"/>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工伤保险基金财政补贴收入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102040</w:t>
            </w:r>
            <w:r>
              <w:rPr>
                <w:rFonts w:hint="default" w:ascii="Times New Roman" w:hAnsi="Times New Roman" w:cs="Times New Roman"/>
                <w:i w:val="0"/>
                <w:color w:val="000000"/>
                <w:kern w:val="0"/>
                <w:sz w:val="20"/>
                <w:szCs w:val="20"/>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工伤保险基金利息收入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七、失业保险基金收入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1020201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其中:</w:t>
            </w:r>
            <w:r>
              <w:rPr>
                <w:rFonts w:hint="default" w:ascii="Times New Roman" w:hAnsi="Times New Roman" w:cs="Times New Roman"/>
                <w:i w:val="0"/>
                <w:color w:val="000000"/>
                <w:kern w:val="0"/>
                <w:sz w:val="20"/>
                <w:szCs w:val="20"/>
                <w:u w:val="none"/>
                <w:lang w:val="en-US" w:eastAsia="zh-CN" w:bidi="ar"/>
              </w:rPr>
              <w:t>失业</w:t>
            </w:r>
            <w:r>
              <w:rPr>
                <w:rFonts w:hint="default" w:ascii="Times New Roman" w:hAnsi="Times New Roman" w:eastAsia="宋体" w:cs="Times New Roman"/>
                <w:i w:val="0"/>
                <w:color w:val="000000"/>
                <w:kern w:val="0"/>
                <w:sz w:val="20"/>
                <w:szCs w:val="20"/>
                <w:u w:val="none"/>
                <w:lang w:val="en-US" w:eastAsia="zh-CN" w:bidi="ar"/>
              </w:rPr>
              <w:t>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102020</w:t>
            </w:r>
            <w:r>
              <w:rPr>
                <w:rFonts w:hint="default" w:ascii="Times New Roman" w:hAnsi="Times New Roman" w:cs="Times New Roman"/>
                <w:i w:val="0"/>
                <w:color w:val="000000"/>
                <w:kern w:val="0"/>
                <w:sz w:val="20"/>
                <w:szCs w:val="20"/>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失业保险</w:t>
            </w:r>
            <w:r>
              <w:rPr>
                <w:rFonts w:hint="default" w:ascii="Times New Roman" w:hAnsi="Times New Roman" w:eastAsia="宋体" w:cs="Times New Roman"/>
                <w:i w:val="0"/>
                <w:color w:val="000000"/>
                <w:kern w:val="0"/>
                <w:sz w:val="20"/>
                <w:szCs w:val="20"/>
                <w:u w:val="none"/>
                <w:lang w:val="en-US" w:eastAsia="zh-CN" w:bidi="ar"/>
              </w:rPr>
              <w:t>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102020</w:t>
            </w:r>
            <w:r>
              <w:rPr>
                <w:rFonts w:hint="default" w:ascii="Times New Roman" w:hAnsi="Times New Roman" w:cs="Times New Roman"/>
                <w:i w:val="0"/>
                <w:color w:val="000000"/>
                <w:kern w:val="0"/>
                <w:sz w:val="20"/>
                <w:szCs w:val="20"/>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cs="Times New Roman"/>
                <w:i w:val="0"/>
                <w:color w:val="000000"/>
                <w:kern w:val="0"/>
                <w:sz w:val="20"/>
                <w:szCs w:val="20"/>
                <w:u w:val="none"/>
                <w:lang w:val="en-US" w:eastAsia="zh-CN" w:bidi="ar"/>
              </w:rPr>
              <w:t>失业保险</w:t>
            </w:r>
            <w:r>
              <w:rPr>
                <w:rFonts w:hint="default" w:ascii="Times New Roman" w:hAnsi="Times New Roman" w:eastAsia="宋体" w:cs="Times New Roman"/>
                <w:i w:val="0"/>
                <w:color w:val="000000"/>
                <w:kern w:val="0"/>
                <w:sz w:val="20"/>
                <w:szCs w:val="20"/>
                <w:u w:val="none"/>
                <w:lang w:val="en-US" w:eastAsia="zh-CN" w:bidi="ar"/>
              </w:rPr>
              <w:t>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bl>
    <w:p>
      <w:pPr>
        <w:pStyle w:val="3"/>
        <w:rPr>
          <w:rFonts w:hint="default"/>
          <w:lang w:val="en-US" w:eastAsia="zh-Hans"/>
        </w:rPr>
      </w:pPr>
    </w:p>
    <w:p>
      <w:pPr>
        <w:rPr>
          <w:rFonts w:hint="default"/>
          <w:lang w:val="en-US" w:eastAsia="zh-Hans"/>
        </w:rPr>
      </w:pPr>
    </w:p>
    <w:p>
      <w:pPr>
        <w:pStyle w:val="7"/>
        <w:rPr>
          <w:rFonts w:hint="default"/>
          <w:lang w:val="en-US" w:eastAsia="zh-Hans"/>
        </w:rPr>
      </w:pPr>
    </w:p>
    <w:p>
      <w:pPr>
        <w:pStyle w:val="7"/>
        <w:rPr>
          <w:rFonts w:hint="default"/>
          <w:lang w:val="en-US" w:eastAsia="zh-Hans"/>
        </w:rPr>
      </w:pPr>
    </w:p>
    <w:p>
      <w:pPr>
        <w:pStyle w:val="7"/>
        <w:rPr>
          <w:rFonts w:hint="default"/>
          <w:lang w:val="en-US" w:eastAsia="zh-Hans"/>
        </w:rPr>
      </w:pPr>
    </w:p>
    <w:p>
      <w:pPr>
        <w:pStyle w:val="7"/>
        <w:rPr>
          <w:rFonts w:hint="default"/>
          <w:lang w:val="en-US" w:eastAsia="zh-Hans"/>
        </w:rPr>
      </w:pPr>
    </w:p>
    <w:p>
      <w:pPr>
        <w:pStyle w:val="7"/>
        <w:rPr>
          <w:rFonts w:hint="default"/>
          <w:lang w:val="en-US" w:eastAsia="zh-Hans"/>
        </w:rPr>
      </w:pPr>
    </w:p>
    <w:p>
      <w:pPr>
        <w:pStyle w:val="7"/>
        <w:rPr>
          <w:rFonts w:hint="default"/>
          <w:lang w:val="en-US" w:eastAsia="zh-Hans"/>
        </w:rPr>
      </w:pPr>
    </w:p>
    <w:p>
      <w:pPr>
        <w:pStyle w:val="7"/>
        <w:rPr>
          <w:rFonts w:hint="default"/>
          <w:lang w:val="en-US" w:eastAsia="zh-Hans"/>
        </w:rPr>
      </w:pPr>
    </w:p>
    <w:p>
      <w:pPr>
        <w:pStyle w:val="7"/>
        <w:rPr>
          <w:rFonts w:hint="default"/>
          <w:lang w:val="en-US" w:eastAsia="zh-Hans"/>
        </w:rPr>
      </w:pPr>
    </w:p>
    <w:p>
      <w:pPr>
        <w:pStyle w:val="7"/>
        <w:rPr>
          <w:rFonts w:hint="default"/>
          <w:lang w:val="en-US" w:eastAsia="zh-Hans"/>
        </w:rPr>
      </w:pPr>
    </w:p>
    <w:p>
      <w:pPr>
        <w:pStyle w:val="7"/>
        <w:rPr>
          <w:rFonts w:hint="default"/>
          <w:lang w:val="en-US" w:eastAsia="zh-Hans"/>
        </w:rPr>
      </w:pPr>
    </w:p>
    <w:tbl>
      <w:tblPr>
        <w:tblStyle w:val="8"/>
        <w:tblW w:w="92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44"/>
        <w:gridCol w:w="3374"/>
        <w:gridCol w:w="1642"/>
        <w:gridCol w:w="1600"/>
        <w:gridCol w:w="1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97" w:hRule="atLeast"/>
          <w:jc w:val="center"/>
        </w:trPr>
        <w:tc>
          <w:tcPr>
            <w:tcW w:w="1144"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18"/>
                <w:szCs w:val="18"/>
                <w:u w:val="none"/>
                <w:lang w:val="en-US" w:eastAsia="zh-CN" w:bidi="ar"/>
              </w:rPr>
              <w:t>表2</w:t>
            </w:r>
            <w:r>
              <w:rPr>
                <w:rFonts w:hint="default" w:ascii="Times New Roman" w:hAnsi="Times New Roman" w:cs="Times New Roman"/>
                <w:i w:val="0"/>
                <w:color w:val="000000"/>
                <w:kern w:val="0"/>
                <w:sz w:val="18"/>
                <w:szCs w:val="18"/>
                <w:u w:val="none"/>
                <w:lang w:eastAsia="zh-CN" w:bidi="ar"/>
              </w:rPr>
              <w:t>5</w:t>
            </w:r>
          </w:p>
        </w:tc>
        <w:tc>
          <w:tcPr>
            <w:tcW w:w="3374" w:type="dxa"/>
            <w:noWrap w:val="0"/>
            <w:vAlign w:val="center"/>
          </w:tcPr>
          <w:p>
            <w:pPr>
              <w:rPr>
                <w:rFonts w:hint="default" w:ascii="Times New Roman" w:hAnsi="Times New Roman" w:eastAsia="宋体" w:cs="Times New Roman"/>
                <w:i w:val="0"/>
                <w:color w:val="000000"/>
                <w:sz w:val="24"/>
                <w:szCs w:val="24"/>
                <w:u w:val="none"/>
              </w:rPr>
            </w:pPr>
          </w:p>
        </w:tc>
        <w:tc>
          <w:tcPr>
            <w:tcW w:w="1642" w:type="dxa"/>
            <w:noWrap w:val="0"/>
            <w:vAlign w:val="center"/>
          </w:tcPr>
          <w:p>
            <w:pPr>
              <w:rPr>
                <w:rFonts w:hint="default" w:ascii="Times New Roman" w:hAnsi="Times New Roman" w:eastAsia="宋体" w:cs="Times New Roman"/>
                <w:i w:val="0"/>
                <w:color w:val="000000"/>
                <w:sz w:val="24"/>
                <w:szCs w:val="24"/>
                <w:u w:val="none"/>
              </w:rPr>
            </w:pPr>
          </w:p>
        </w:tc>
        <w:tc>
          <w:tcPr>
            <w:tcW w:w="1600" w:type="dxa"/>
            <w:noWrap w:val="0"/>
            <w:vAlign w:val="center"/>
          </w:tcPr>
          <w:p>
            <w:pPr>
              <w:rPr>
                <w:rFonts w:hint="default" w:ascii="Times New Roman" w:hAnsi="Times New Roman" w:eastAsia="宋体" w:cs="Times New Roman"/>
                <w:i w:val="0"/>
                <w:color w:val="000000"/>
                <w:sz w:val="24"/>
                <w:szCs w:val="24"/>
                <w:u w:val="none"/>
              </w:rPr>
            </w:pPr>
          </w:p>
        </w:tc>
        <w:tc>
          <w:tcPr>
            <w:tcW w:w="1470" w:type="dxa"/>
            <w:noWrap w:val="0"/>
            <w:vAlign w:val="center"/>
          </w:tcPr>
          <w:p>
            <w:pPr>
              <w:rPr>
                <w:rFonts w:hint="default" w:ascii="Times New Roman" w:hAnsi="Times New Roman" w:eastAsia="宋体" w:cs="Times New Roman"/>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195" w:hRule="atLeast"/>
          <w:jc w:val="center"/>
        </w:trPr>
        <w:tc>
          <w:tcPr>
            <w:tcW w:w="9230"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eastAsia" w:cs="Times New Roman"/>
                <w:b/>
                <w:i w:val="0"/>
                <w:color w:val="000000"/>
                <w:kern w:val="0"/>
                <w:sz w:val="20"/>
                <w:szCs w:val="20"/>
                <w:u w:val="none"/>
                <w:lang w:val="en-US" w:eastAsia="zh-CN" w:bidi="ar"/>
              </w:rPr>
              <w:t>6</w:t>
            </w:r>
            <w:r>
              <w:rPr>
                <w:rFonts w:hint="default" w:ascii="Times New Roman" w:hAnsi="Times New Roman" w:eastAsia="宋体" w:cs="Times New Roman"/>
                <w:b/>
                <w:i w:val="0"/>
                <w:color w:val="000000"/>
                <w:kern w:val="0"/>
                <w:sz w:val="20"/>
                <w:szCs w:val="20"/>
                <w:u w:val="none"/>
                <w:lang w:val="en-US" w:eastAsia="zh-CN" w:bidi="ar"/>
              </w:rPr>
              <w:t>年</w:t>
            </w:r>
            <w:r>
              <w:rPr>
                <w:rFonts w:hint="eastAsia" w:cs="Times New Roman"/>
                <w:b/>
                <w:i w:val="0"/>
                <w:color w:val="000000"/>
                <w:kern w:val="0"/>
                <w:sz w:val="20"/>
                <w:szCs w:val="20"/>
                <w:u w:val="none"/>
                <w:lang w:val="en-US" w:eastAsia="zh-CN" w:bidi="ar"/>
              </w:rPr>
              <w:t>泽普县</w:t>
            </w:r>
            <w:r>
              <w:rPr>
                <w:rFonts w:hint="default" w:ascii="Times New Roman" w:hAnsi="Times New Roman" w:eastAsia="宋体" w:cs="Times New Roman"/>
                <w:b/>
                <w:i w:val="0"/>
                <w:color w:val="000000"/>
                <w:kern w:val="0"/>
                <w:sz w:val="20"/>
                <w:szCs w:val="20"/>
                <w:u w:val="none"/>
                <w:lang w:val="en-US" w:eastAsia="zh-CN" w:bidi="ar"/>
              </w:rPr>
              <w:t>本级社会保险基金预算支出表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67" w:hRule="atLeast"/>
          <w:jc w:val="center"/>
        </w:trPr>
        <w:tc>
          <w:tcPr>
            <w:tcW w:w="1144"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3374"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42"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shd w:val="clear" w:color="auto"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18"/>
                <w:szCs w:val="18"/>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549" w:hRule="atLeast"/>
          <w:jc w:val="center"/>
        </w:trPr>
        <w:tc>
          <w:tcPr>
            <w:tcW w:w="11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科目编码</w:t>
            </w:r>
          </w:p>
        </w:tc>
        <w:tc>
          <w:tcPr>
            <w:tcW w:w="3374" w:type="dxa"/>
            <w:tcBorders>
              <w:top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项 目</w:t>
            </w:r>
          </w:p>
        </w:tc>
        <w:tc>
          <w:tcPr>
            <w:tcW w:w="1642"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202</w:t>
            </w:r>
            <w:r>
              <w:rPr>
                <w:rFonts w:hint="eastAsia" w:cs="Times New Roman"/>
                <w:b/>
                <w:bCs/>
                <w:i w:val="0"/>
                <w:color w:val="000000"/>
                <w:kern w:val="0"/>
                <w:sz w:val="18"/>
                <w:szCs w:val="18"/>
                <w:u w:val="none"/>
                <w:lang w:val="en-US" w:eastAsia="zh-CN" w:bidi="ar"/>
              </w:rPr>
              <w:t>5</w:t>
            </w:r>
            <w:r>
              <w:rPr>
                <w:rFonts w:hint="default" w:ascii="Times New Roman" w:hAnsi="Times New Roman" w:eastAsia="宋体" w:cs="Times New Roman"/>
                <w:b/>
                <w:bCs/>
                <w:i w:val="0"/>
                <w:color w:val="000000"/>
                <w:kern w:val="0"/>
                <w:sz w:val="18"/>
                <w:szCs w:val="18"/>
                <w:u w:val="none"/>
                <w:lang w:val="en-US" w:eastAsia="zh-CN" w:bidi="ar"/>
              </w:rPr>
              <w:t>年</w:t>
            </w:r>
            <w:r>
              <w:rPr>
                <w:rFonts w:hint="default" w:ascii="Times New Roman" w:hAnsi="Times New Roman" w:eastAsia="宋体" w:cs="Times New Roman"/>
                <w:b/>
                <w:bCs/>
                <w:i w:val="0"/>
                <w:color w:val="000000"/>
                <w:kern w:val="0"/>
                <w:sz w:val="18"/>
                <w:szCs w:val="18"/>
                <w:u w:val="none"/>
                <w:lang w:val="en-US" w:eastAsia="zh-Hans" w:bidi="ar"/>
              </w:rPr>
              <w:t>完成</w:t>
            </w:r>
            <w:r>
              <w:rPr>
                <w:rFonts w:hint="default" w:ascii="Times New Roman" w:hAnsi="Times New Roman" w:eastAsia="宋体" w:cs="Times New Roman"/>
                <w:b/>
                <w:bCs/>
                <w:i w:val="0"/>
                <w:color w:val="000000"/>
                <w:kern w:val="0"/>
                <w:sz w:val="18"/>
                <w:szCs w:val="18"/>
                <w:u w:val="none"/>
                <w:lang w:val="en-US" w:eastAsia="zh-CN" w:bidi="ar"/>
              </w:rPr>
              <w:t>数</w:t>
            </w:r>
          </w:p>
        </w:tc>
        <w:tc>
          <w:tcPr>
            <w:tcW w:w="1600"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202</w:t>
            </w:r>
            <w:r>
              <w:rPr>
                <w:rFonts w:hint="eastAsia" w:cs="Times New Roman"/>
                <w:b/>
                <w:bCs/>
                <w:i w:val="0"/>
                <w:color w:val="000000"/>
                <w:kern w:val="0"/>
                <w:sz w:val="18"/>
                <w:szCs w:val="18"/>
                <w:u w:val="none"/>
                <w:lang w:val="en-US" w:eastAsia="zh-CN" w:bidi="ar"/>
              </w:rPr>
              <w:t>6</w:t>
            </w:r>
            <w:r>
              <w:rPr>
                <w:rFonts w:hint="default" w:ascii="Times New Roman" w:hAnsi="Times New Roman" w:eastAsia="宋体" w:cs="Times New Roman"/>
                <w:b/>
                <w:bCs/>
                <w:i w:val="0"/>
                <w:color w:val="000000"/>
                <w:kern w:val="0"/>
                <w:sz w:val="18"/>
                <w:szCs w:val="18"/>
                <w:u w:val="none"/>
                <w:lang w:val="en-US" w:eastAsia="zh-CN" w:bidi="ar"/>
              </w:rPr>
              <w:t>年预算数</w:t>
            </w:r>
          </w:p>
        </w:tc>
        <w:tc>
          <w:tcPr>
            <w:tcW w:w="1470"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18"/>
                <w:szCs w:val="18"/>
                <w:u w:val="none"/>
                <w:lang w:val="en-US" w:eastAsia="zh-CN" w:bidi="ar"/>
              </w:rPr>
            </w:pPr>
            <w:r>
              <w:rPr>
                <w:rFonts w:hint="default" w:ascii="Times New Roman" w:hAnsi="Times New Roman" w:eastAsia="宋体" w:cs="Times New Roman"/>
                <w:b/>
                <w:bCs/>
                <w:i w:val="0"/>
                <w:color w:val="000000"/>
                <w:kern w:val="0"/>
                <w:sz w:val="18"/>
                <w:szCs w:val="18"/>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Hans" w:bidi="ar"/>
              </w:rPr>
              <w:t>完成</w:t>
            </w:r>
            <w:r>
              <w:rPr>
                <w:rFonts w:hint="default" w:ascii="Times New Roman" w:hAnsi="Times New Roman" w:eastAsia="宋体" w:cs="Times New Roman"/>
                <w:b/>
                <w:bCs/>
                <w:i w:val="0"/>
                <w:color w:val="000000"/>
                <w:kern w:val="0"/>
                <w:sz w:val="18"/>
                <w:szCs w:val="18"/>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w:t>
            </w:r>
          </w:p>
        </w:tc>
        <w:tc>
          <w:tcPr>
            <w:tcW w:w="3374"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社会保险基金支出合计</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5400.51</w:t>
            </w: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5788.49</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107.18%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20901</w:t>
            </w:r>
          </w:p>
        </w:tc>
        <w:tc>
          <w:tcPr>
            <w:tcW w:w="3374"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一、企业职工基本养老保险基金支出</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2090101</w:t>
            </w:r>
          </w:p>
        </w:tc>
        <w:tc>
          <w:tcPr>
            <w:tcW w:w="3374"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其中:基本养老金</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20911</w:t>
            </w:r>
          </w:p>
        </w:tc>
        <w:tc>
          <w:tcPr>
            <w:tcW w:w="3374"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二、机关事业基本养老保险基金支出</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2091101</w:t>
            </w:r>
          </w:p>
        </w:tc>
        <w:tc>
          <w:tcPr>
            <w:tcW w:w="3374"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其中:基本养老金支出</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20910</w:t>
            </w:r>
          </w:p>
        </w:tc>
        <w:tc>
          <w:tcPr>
            <w:tcW w:w="3374"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三、城乡居民基本养老保险基金支出</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5400.51</w:t>
            </w: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5788.49</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107.18%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2091001</w:t>
            </w:r>
          </w:p>
        </w:tc>
        <w:tc>
          <w:tcPr>
            <w:tcW w:w="3374"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其中:基</w:t>
            </w:r>
            <w:r>
              <w:rPr>
                <w:rFonts w:hint="default" w:ascii="Times New Roman" w:hAnsi="Times New Roman" w:cs="Times New Roman"/>
                <w:i w:val="0"/>
                <w:color w:val="000000"/>
                <w:kern w:val="0"/>
                <w:sz w:val="20"/>
                <w:szCs w:val="20"/>
                <w:u w:val="none"/>
                <w:lang w:val="en-US" w:eastAsia="zh-CN" w:bidi="ar"/>
              </w:rPr>
              <w:t>础</w:t>
            </w:r>
            <w:r>
              <w:rPr>
                <w:rFonts w:hint="default" w:ascii="Times New Roman" w:hAnsi="Times New Roman" w:eastAsia="宋体" w:cs="Times New Roman"/>
                <w:i w:val="0"/>
                <w:color w:val="000000"/>
                <w:kern w:val="0"/>
                <w:sz w:val="20"/>
                <w:szCs w:val="20"/>
                <w:u w:val="none"/>
                <w:lang w:val="en-US" w:eastAsia="zh-CN" w:bidi="ar"/>
              </w:rPr>
              <w:t>养老金支出</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5368.86</w:t>
            </w: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5754.33</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1"/>
                <w:szCs w:val="21"/>
                <w:u w:val="none"/>
                <w:lang w:val="en-US" w:eastAsia="zh-CN" w:bidi="ar"/>
              </w:rPr>
              <w:t>107.18%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20903</w:t>
            </w:r>
          </w:p>
        </w:tc>
        <w:tc>
          <w:tcPr>
            <w:tcW w:w="3374"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四、职工基本医疗保险基金支出</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6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2090301</w:t>
            </w:r>
          </w:p>
        </w:tc>
        <w:tc>
          <w:tcPr>
            <w:tcW w:w="3374"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其中:职工基本医疗保险统筹基金</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6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2090302</w:t>
            </w:r>
          </w:p>
        </w:tc>
        <w:tc>
          <w:tcPr>
            <w:tcW w:w="3374"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职工基本医疗保险个人账户基金</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6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20912</w:t>
            </w:r>
          </w:p>
        </w:tc>
        <w:tc>
          <w:tcPr>
            <w:tcW w:w="3374" w:type="dxa"/>
            <w:vMerge w:val="restart"/>
            <w:tcBorders>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五、城乡居民基本医疗保险基金支出</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6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2091201</w:t>
            </w:r>
          </w:p>
        </w:tc>
        <w:tc>
          <w:tcPr>
            <w:tcW w:w="3374"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其中:城乡居民基本医疗保险基金医疗待遇支出</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6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6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2091202</w:t>
            </w:r>
          </w:p>
        </w:tc>
        <w:tc>
          <w:tcPr>
            <w:tcW w:w="3374"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城乡居民大病保险支出</w:t>
            </w:r>
          </w:p>
        </w:tc>
        <w:tc>
          <w:tcPr>
            <w:tcW w:w="1642" w:type="dxa"/>
            <w:vMerge w:val="restart"/>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restart"/>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restart"/>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6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6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20904</w:t>
            </w:r>
          </w:p>
        </w:tc>
        <w:tc>
          <w:tcPr>
            <w:tcW w:w="3374"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六、工伤保险基金支出</w:t>
            </w:r>
          </w:p>
        </w:tc>
        <w:tc>
          <w:tcPr>
            <w:tcW w:w="1642" w:type="dxa"/>
            <w:vMerge w:val="restart"/>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restart"/>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restart"/>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60"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2090401</w:t>
            </w:r>
          </w:p>
        </w:tc>
        <w:tc>
          <w:tcPr>
            <w:tcW w:w="3374"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其中:工伤保险待遇</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80" w:hRule="atLeast"/>
          <w:jc w:val="center"/>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20902</w:t>
            </w:r>
          </w:p>
        </w:tc>
        <w:tc>
          <w:tcPr>
            <w:tcW w:w="3374"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七、失业保险基金支出</w:t>
            </w:r>
          </w:p>
        </w:tc>
        <w:tc>
          <w:tcPr>
            <w:tcW w:w="164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12" w:hRule="atLeast"/>
          <w:jc w:val="center"/>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74"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u w:val="none"/>
              </w:rPr>
            </w:pPr>
          </w:p>
        </w:tc>
        <w:tc>
          <w:tcPr>
            <w:tcW w:w="164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592" w:hRule="atLeast"/>
          <w:jc w:val="center"/>
        </w:trPr>
        <w:tc>
          <w:tcPr>
            <w:tcW w:w="11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2090201</w:t>
            </w:r>
          </w:p>
        </w:tc>
        <w:tc>
          <w:tcPr>
            <w:tcW w:w="3374" w:type="dxa"/>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 其中:失业保险金</w:t>
            </w:r>
          </w:p>
        </w:tc>
        <w:tc>
          <w:tcPr>
            <w:tcW w:w="16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bl>
    <w:tbl>
      <w:tblPr>
        <w:tblStyle w:val="8"/>
        <w:tblpPr w:leftFromText="180" w:rightFromText="180" w:vertAnchor="text" w:horzAnchor="page" w:tblpX="1360" w:tblpY="312"/>
        <w:tblOverlap w:val="never"/>
        <w:tblW w:w="9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93"/>
        <w:gridCol w:w="3327"/>
        <w:gridCol w:w="1620"/>
        <w:gridCol w:w="1730"/>
        <w:gridCol w:w="1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b w:val="0"/>
                <w:bCs/>
                <w:i w:val="0"/>
                <w:color w:val="000000"/>
                <w:kern w:val="0"/>
                <w:sz w:val="20"/>
                <w:szCs w:val="20"/>
                <w:u w:val="none"/>
                <w:lang w:val="en-US" w:eastAsia="zh-Hans" w:bidi="ar"/>
              </w:rPr>
            </w:pPr>
            <w:r>
              <w:rPr>
                <w:rFonts w:hint="default" w:ascii="Times New Roman" w:hAnsi="Times New Roman" w:cs="Times New Roman"/>
                <w:b w:val="0"/>
                <w:bCs/>
                <w:i w:val="0"/>
                <w:color w:val="000000"/>
                <w:kern w:val="0"/>
                <w:sz w:val="20"/>
                <w:szCs w:val="20"/>
                <w:u w:val="none"/>
                <w:lang w:val="en-US" w:eastAsia="zh-Hans" w:bidi="ar"/>
              </w:rPr>
              <w:t>表</w:t>
            </w:r>
            <w:r>
              <w:rPr>
                <w:rFonts w:hint="default" w:ascii="Times New Roman" w:hAnsi="Times New Roman" w:cs="Times New Roman"/>
                <w:b w:val="0"/>
                <w:bCs/>
                <w:i w:val="0"/>
                <w:color w:val="000000"/>
                <w:kern w:val="0"/>
                <w:sz w:val="20"/>
                <w:szCs w:val="20"/>
                <w:u w:val="none"/>
                <w:lang w:eastAsia="zh-Hans"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eastAsia" w:cs="Times New Roman"/>
                <w:b/>
                <w:i w:val="0"/>
                <w:color w:val="000000"/>
                <w:kern w:val="0"/>
                <w:sz w:val="20"/>
                <w:szCs w:val="20"/>
                <w:u w:val="none"/>
                <w:lang w:val="en-US" w:eastAsia="zh-CN" w:bidi="ar"/>
              </w:rPr>
              <w:t>6</w:t>
            </w:r>
            <w:r>
              <w:rPr>
                <w:rFonts w:hint="default" w:ascii="Times New Roman" w:hAnsi="Times New Roman" w:eastAsia="宋体" w:cs="Times New Roman"/>
                <w:b/>
                <w:i w:val="0"/>
                <w:color w:val="000000"/>
                <w:kern w:val="0"/>
                <w:sz w:val="20"/>
                <w:szCs w:val="20"/>
                <w:u w:val="none"/>
                <w:lang w:val="en-US" w:eastAsia="zh-CN" w:bidi="ar"/>
              </w:rPr>
              <w:t>年</w:t>
            </w:r>
            <w:r>
              <w:rPr>
                <w:rFonts w:hint="eastAsia" w:cs="Times New Roman"/>
                <w:b/>
                <w:i w:val="0"/>
                <w:color w:val="000000"/>
                <w:kern w:val="0"/>
                <w:sz w:val="20"/>
                <w:szCs w:val="20"/>
                <w:u w:val="none"/>
                <w:lang w:val="en-US" w:eastAsia="zh-CN" w:bidi="ar"/>
              </w:rPr>
              <w:t>泽普县</w:t>
            </w:r>
            <w:r>
              <w:rPr>
                <w:rFonts w:hint="default" w:ascii="Times New Roman" w:hAnsi="Times New Roman" w:cs="Times New Roman"/>
                <w:b/>
                <w:i w:val="0"/>
                <w:color w:val="000000"/>
                <w:kern w:val="0"/>
                <w:sz w:val="20"/>
                <w:szCs w:val="20"/>
                <w:u w:val="none"/>
                <w:lang w:val="en-US" w:eastAsia="zh-Hans" w:bidi="ar"/>
              </w:rPr>
              <w:t>本级</w:t>
            </w:r>
            <w:r>
              <w:rPr>
                <w:rFonts w:hint="default" w:ascii="Times New Roman" w:hAnsi="Times New Roman" w:eastAsia="宋体" w:cs="Times New Roman"/>
                <w:b/>
                <w:i w:val="0"/>
                <w:color w:val="000000"/>
                <w:kern w:val="0"/>
                <w:sz w:val="20"/>
                <w:szCs w:val="20"/>
                <w:u w:val="none"/>
                <w:lang w:val="en-US" w:eastAsia="zh-CN" w:bidi="ar"/>
              </w:rPr>
              <w:t>社会保险基金预算</w:t>
            </w:r>
            <w:r>
              <w:rPr>
                <w:rFonts w:hint="default" w:ascii="Times New Roman" w:hAnsi="Times New Roman" w:cs="Times New Roman"/>
                <w:b/>
                <w:i w:val="0"/>
                <w:color w:val="000000"/>
                <w:kern w:val="0"/>
                <w:sz w:val="20"/>
                <w:szCs w:val="20"/>
                <w:u w:val="none"/>
                <w:lang w:val="en-US" w:eastAsia="zh-CN" w:bidi="ar"/>
              </w:rPr>
              <w:t>结余</w:t>
            </w:r>
            <w:r>
              <w:rPr>
                <w:rFonts w:hint="default" w:ascii="Times New Roman" w:hAnsi="Times New Roman" w:eastAsia="宋体" w:cs="Times New Roman"/>
                <w:b/>
                <w:i w:val="0"/>
                <w:color w:val="000000"/>
                <w:kern w:val="0"/>
                <w:sz w:val="20"/>
                <w:szCs w:val="20"/>
                <w:u w:val="none"/>
                <w:lang w:val="en-US" w:eastAsia="zh-CN" w:bidi="ar"/>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393"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3327"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620"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730" w:type="dxa"/>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330" w:type="dxa"/>
            <w:shd w:val="clear" w:color="auto"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5"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332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项 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年年末累计结余预计数</w:t>
            </w: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6</w:t>
            </w:r>
            <w:r>
              <w:rPr>
                <w:rFonts w:hint="default" w:ascii="Times New Roman" w:hAnsi="Times New Roman" w:eastAsia="宋体" w:cs="Times New Roman"/>
                <w:b/>
                <w:bCs/>
                <w:i w:val="0"/>
                <w:color w:val="000000"/>
                <w:kern w:val="0"/>
                <w:sz w:val="20"/>
                <w:szCs w:val="20"/>
                <w:u w:val="none"/>
                <w:lang w:val="en-US" w:eastAsia="zh-CN" w:bidi="ar"/>
              </w:rPr>
              <w:t>年年末累计结余预算数</w:t>
            </w: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预算数为上年预计数的%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color w:val="000000"/>
                <w:kern w:val="0"/>
                <w:sz w:val="20"/>
                <w:szCs w:val="20"/>
                <w:u w:val="none"/>
                <w:lang w:val="en-US" w:eastAsia="zh-CN" w:bidi="ar"/>
              </w:rPr>
              <w:t>2</w:t>
            </w:r>
            <w:r>
              <w:rPr>
                <w:rFonts w:hint="default" w:ascii="Times New Roman" w:hAnsi="Times New Roman" w:cs="Times New Roman"/>
                <w:i w:val="0"/>
                <w:color w:val="000000"/>
                <w:kern w:val="0"/>
                <w:sz w:val="20"/>
                <w:szCs w:val="20"/>
                <w:u w:val="none"/>
                <w:lang w:val="en-US" w:eastAsia="zh-CN" w:bidi="ar"/>
              </w:rPr>
              <w:t>3009</w:t>
            </w:r>
          </w:p>
        </w:tc>
        <w:tc>
          <w:tcPr>
            <w:tcW w:w="3327" w:type="dxa"/>
            <w:vMerge w:val="restart"/>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社会保险基金</w:t>
            </w:r>
            <w:r>
              <w:rPr>
                <w:rFonts w:hint="default" w:ascii="Times New Roman" w:hAnsi="Times New Roman" w:cs="Times New Roman"/>
                <w:i w:val="0"/>
                <w:color w:val="000000"/>
                <w:kern w:val="0"/>
                <w:sz w:val="20"/>
                <w:szCs w:val="20"/>
                <w:u w:val="none"/>
                <w:lang w:val="en-US" w:eastAsia="zh-CN" w:bidi="ar"/>
              </w:rPr>
              <w:t>年终结余</w:t>
            </w:r>
            <w:r>
              <w:rPr>
                <w:rFonts w:hint="default" w:ascii="Times New Roman" w:hAnsi="Times New Roman" w:eastAsia="宋体" w:cs="Times New Roman"/>
                <w:i w:val="0"/>
                <w:color w:val="000000"/>
                <w:kern w:val="0"/>
                <w:sz w:val="20"/>
                <w:szCs w:val="20"/>
                <w:u w:val="none"/>
                <w:lang w:val="en-US" w:eastAsia="zh-CN" w:bidi="ar"/>
              </w:rPr>
              <w:t>合计</w:t>
            </w:r>
          </w:p>
        </w:tc>
        <w:tc>
          <w:tcPr>
            <w:tcW w:w="162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32598.25</w:t>
            </w:r>
          </w:p>
        </w:tc>
        <w:tc>
          <w:tcPr>
            <w:tcW w:w="173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29632.98</w:t>
            </w:r>
          </w:p>
        </w:tc>
        <w:tc>
          <w:tcPr>
            <w:tcW w:w="1330"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27" w:type="dxa"/>
            <w:vMerge w:val="continue"/>
            <w:tcBorders>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62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73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330"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2300911</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一、企业职工基本养老保险基金</w:t>
            </w:r>
            <w:r>
              <w:rPr>
                <w:rFonts w:hint="default" w:ascii="Times New Roman" w:hAnsi="Times New Roman" w:cs="Times New Roman"/>
                <w:i w:val="0"/>
                <w:color w:val="000000"/>
                <w:kern w:val="0"/>
                <w:sz w:val="20"/>
                <w:szCs w:val="20"/>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2300916</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二、机关事业基本养老保险基金</w:t>
            </w:r>
            <w:r>
              <w:rPr>
                <w:rFonts w:hint="default" w:ascii="Times New Roman" w:hAnsi="Times New Roman" w:cs="Times New Roman"/>
                <w:i w:val="0"/>
                <w:color w:val="000000"/>
                <w:kern w:val="0"/>
                <w:sz w:val="20"/>
                <w:szCs w:val="20"/>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2300915</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三</w:t>
            </w:r>
            <w:r>
              <w:rPr>
                <w:rFonts w:hint="default" w:ascii="Times New Roman" w:hAnsi="Times New Roman" w:eastAsia="宋体" w:cs="Times New Roman"/>
                <w:i w:val="0"/>
                <w:color w:val="000000"/>
                <w:kern w:val="0"/>
                <w:sz w:val="20"/>
                <w:szCs w:val="20"/>
                <w:u w:val="none"/>
                <w:lang w:val="en-US" w:eastAsia="zh-CN" w:bidi="ar"/>
              </w:rPr>
              <w:t>、</w:t>
            </w:r>
            <w:r>
              <w:rPr>
                <w:rFonts w:hint="default" w:ascii="Times New Roman" w:hAnsi="Times New Roman" w:cs="Times New Roman"/>
                <w:i w:val="0"/>
                <w:color w:val="000000"/>
                <w:kern w:val="0"/>
                <w:sz w:val="20"/>
                <w:szCs w:val="20"/>
                <w:u w:val="none"/>
                <w:lang w:val="en-US" w:eastAsia="zh-CN" w:bidi="ar"/>
              </w:rPr>
              <w:t>城乡居民</w:t>
            </w:r>
            <w:r>
              <w:rPr>
                <w:rFonts w:hint="default" w:ascii="Times New Roman" w:hAnsi="Times New Roman" w:eastAsia="宋体" w:cs="Times New Roman"/>
                <w:i w:val="0"/>
                <w:color w:val="000000"/>
                <w:kern w:val="0"/>
                <w:sz w:val="20"/>
                <w:szCs w:val="20"/>
                <w:u w:val="none"/>
                <w:lang w:val="en-US" w:eastAsia="zh-CN" w:bidi="ar"/>
              </w:rPr>
              <w:t>基本养老保险基金</w:t>
            </w:r>
            <w:r>
              <w:rPr>
                <w:rFonts w:hint="default" w:ascii="Times New Roman" w:hAnsi="Times New Roman" w:cs="Times New Roman"/>
                <w:i w:val="0"/>
                <w:color w:val="000000"/>
                <w:kern w:val="0"/>
                <w:sz w:val="20"/>
                <w:szCs w:val="20"/>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32598.25</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29632.98</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2300913</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eastAsia="zh-CN"/>
              </w:rPr>
            </w:pPr>
            <w:r>
              <w:rPr>
                <w:rFonts w:hint="default" w:ascii="Times New Roman" w:hAnsi="Times New Roman" w:cs="Times New Roman"/>
                <w:i w:val="0"/>
                <w:color w:val="000000"/>
                <w:sz w:val="20"/>
                <w:szCs w:val="20"/>
                <w:u w:val="none"/>
                <w:lang w:eastAsia="zh-CN"/>
              </w:rPr>
              <w:t>四、职工基本医疗保险基金年终结余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45"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2300917</w:t>
            </w:r>
          </w:p>
        </w:tc>
        <w:tc>
          <w:tcPr>
            <w:tcW w:w="3327"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cs="Times New Roman"/>
                <w:i w:val="0"/>
                <w:color w:val="000000"/>
                <w:kern w:val="0"/>
                <w:sz w:val="20"/>
                <w:szCs w:val="20"/>
                <w:u w:val="none"/>
                <w:lang w:val="en-US" w:eastAsia="zh-CN" w:bidi="ar"/>
              </w:rPr>
              <w:t>五、城乡居民基本医疗保险基金年终结余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2300914</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六</w:t>
            </w:r>
            <w:r>
              <w:rPr>
                <w:rFonts w:hint="default" w:ascii="Times New Roman" w:hAnsi="Times New Roman" w:eastAsia="宋体" w:cs="Times New Roman"/>
                <w:i w:val="0"/>
                <w:color w:val="000000"/>
                <w:kern w:val="0"/>
                <w:sz w:val="20"/>
                <w:szCs w:val="20"/>
                <w:u w:val="none"/>
                <w:lang w:val="en-US" w:eastAsia="zh-CN" w:bidi="ar"/>
              </w:rPr>
              <w:t>、</w:t>
            </w:r>
            <w:r>
              <w:rPr>
                <w:rFonts w:hint="default" w:ascii="Times New Roman" w:hAnsi="Times New Roman" w:cs="Times New Roman"/>
                <w:i w:val="0"/>
                <w:color w:val="000000"/>
                <w:kern w:val="0"/>
                <w:sz w:val="20"/>
                <w:szCs w:val="20"/>
                <w:u w:val="none"/>
                <w:lang w:val="en-US" w:eastAsia="zh-CN" w:bidi="ar"/>
              </w:rPr>
              <w:t>工伤保险基金年终结余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cs="Times New Roman"/>
                <w:i w:val="0"/>
                <w:color w:val="000000"/>
                <w:kern w:val="0"/>
                <w:sz w:val="20"/>
                <w:szCs w:val="20"/>
                <w:u w:val="none"/>
                <w:lang w:val="en-US" w:eastAsia="zh-CN" w:bidi="ar"/>
              </w:rPr>
              <w:t>2300912</w:t>
            </w:r>
          </w:p>
        </w:tc>
        <w:tc>
          <w:tcPr>
            <w:tcW w:w="3327"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eastAsia="zh-CN"/>
              </w:rPr>
            </w:pPr>
            <w:r>
              <w:rPr>
                <w:rFonts w:hint="default" w:ascii="Times New Roman" w:hAnsi="Times New Roman" w:cs="Times New Roman"/>
                <w:i w:val="0"/>
                <w:color w:val="000000"/>
                <w:sz w:val="20"/>
                <w:szCs w:val="20"/>
                <w:u w:val="none"/>
                <w:lang w:eastAsia="zh-CN"/>
              </w:rPr>
              <w:t>七、失业保险基金年终结余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u w:val="none"/>
              </w:rPr>
            </w:pPr>
          </w:p>
        </w:tc>
      </w:tr>
    </w:tbl>
    <w:p>
      <w:pPr>
        <w:wordWrap/>
        <w:jc w:val="center"/>
        <w:rPr>
          <w:rFonts w:hint="default" w:ascii="Times New Roman" w:hAnsi="Times New Roman" w:cs="Times New Roman"/>
          <w:b w:val="0"/>
          <w:bCs w:val="0"/>
          <w:sz w:val="22"/>
          <w:szCs w:val="22"/>
          <w:highlight w:val="none"/>
          <w:lang w:eastAsia="zh-Hans"/>
        </w:rPr>
      </w:pPr>
    </w:p>
    <w:p>
      <w:pPr>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br w:type="page"/>
      </w:r>
    </w:p>
    <w:p>
      <w:pPr>
        <w:pStyle w:val="7"/>
        <w:rPr>
          <w:rFonts w:hint="default"/>
          <w:highlight w:val="none"/>
          <w:lang w:val="en-US" w:eastAsia="zh-Hans"/>
        </w:rPr>
      </w:pPr>
    </w:p>
    <w:p>
      <w:pPr>
        <w:widowControl/>
        <w:jc w:val="center"/>
        <w:outlineLvl w:val="1"/>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第三部分</w:t>
      </w:r>
      <w:r>
        <w:rPr>
          <w:rFonts w:hint="default" w:ascii="Times New Roman" w:hAnsi="Times New Roman" w:eastAsia="黑体" w:cs="Times New Roman"/>
          <w:kern w:val="0"/>
          <w:sz w:val="32"/>
          <w:szCs w:val="32"/>
          <w:highlight w:val="none"/>
          <w:lang w:eastAsia="zh-Hans"/>
        </w:rPr>
        <w:t xml:space="preserve">  </w:t>
      </w:r>
      <w:r>
        <w:rPr>
          <w:rFonts w:hint="eastAsia" w:eastAsia="黑体" w:cs="Times New Roman"/>
          <w:kern w:val="0"/>
          <w:sz w:val="32"/>
          <w:szCs w:val="32"/>
          <w:highlight w:val="none"/>
          <w:lang w:val="en-US" w:eastAsia="zh-CN"/>
        </w:rPr>
        <w:t>财政拨款</w:t>
      </w:r>
      <w:r>
        <w:rPr>
          <w:rFonts w:hint="default" w:ascii="Times New Roman" w:hAnsi="Times New Roman" w:eastAsia="黑体" w:cs="Times New Roman"/>
          <w:kern w:val="0"/>
          <w:sz w:val="32"/>
          <w:szCs w:val="32"/>
          <w:highlight w:val="none"/>
          <w:lang w:val="en-US" w:eastAsia="zh-Hans"/>
        </w:rPr>
        <w:t>“三公”经费预算情况说明</w:t>
      </w:r>
    </w:p>
    <w:p>
      <w:pPr>
        <w:jc w:val="both"/>
        <w:rPr>
          <w:rFonts w:hint="default" w:ascii="Times New Roman" w:hAnsi="Times New Roman" w:cs="Times New Roman"/>
          <w:b w:val="0"/>
          <w:bCs w:val="0"/>
          <w:sz w:val="22"/>
          <w:szCs w:val="22"/>
          <w:highlight w:val="none"/>
          <w:lang w:val="en-US" w:eastAsia="zh-Hans"/>
        </w:rPr>
      </w:pPr>
    </w:p>
    <w:tbl>
      <w:tblPr>
        <w:tblStyle w:val="8"/>
        <w:tblW w:w="9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3250"/>
        <w:gridCol w:w="2090"/>
        <w:gridCol w:w="2110"/>
        <w:gridCol w:w="1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3250"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表2</w:t>
            </w:r>
            <w:r>
              <w:rPr>
                <w:rFonts w:hint="default" w:ascii="Times New Roman" w:hAnsi="Times New Roman" w:cs="Times New Roman"/>
                <w:i w:val="0"/>
                <w:color w:val="000000"/>
                <w:kern w:val="0"/>
                <w:sz w:val="20"/>
                <w:szCs w:val="20"/>
                <w:highlight w:val="none"/>
                <w:u w:val="none"/>
                <w:lang w:eastAsia="zh-CN" w:bidi="ar"/>
              </w:rPr>
              <w:t>7</w:t>
            </w:r>
          </w:p>
        </w:tc>
        <w:tc>
          <w:tcPr>
            <w:tcW w:w="209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11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750" w:type="dxa"/>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9200" w:type="dxa"/>
            <w:gridSpan w:val="4"/>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泽普县</w:t>
            </w:r>
            <w:r>
              <w:rPr>
                <w:rFonts w:hint="eastAsia" w:cs="Times New Roman"/>
                <w:b/>
                <w:i w:val="0"/>
                <w:color w:val="000000"/>
                <w:kern w:val="0"/>
                <w:sz w:val="20"/>
                <w:szCs w:val="20"/>
                <w:highlight w:val="none"/>
                <w:u w:val="none"/>
                <w:lang w:val="en-US" w:eastAsia="zh-CN" w:bidi="ar"/>
              </w:rPr>
              <w:t>财政拨款</w:t>
            </w:r>
            <w:r>
              <w:rPr>
                <w:rFonts w:hint="default" w:ascii="Times New Roman" w:hAnsi="Times New Roman" w:eastAsia="宋体" w:cs="Times New Roman"/>
                <w:b/>
                <w:i w:val="0"/>
                <w:color w:val="000000"/>
                <w:kern w:val="0"/>
                <w:sz w:val="20"/>
                <w:szCs w:val="20"/>
                <w:highlight w:val="none"/>
                <w:u w:val="none"/>
                <w:lang w:val="en-US" w:eastAsia="zh-CN" w:bidi="ar"/>
              </w:rPr>
              <w:t>“三公”经费支出预算表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325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09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3860"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3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w:t>
            </w:r>
          </w:p>
        </w:tc>
        <w:tc>
          <w:tcPr>
            <w:tcW w:w="20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c>
          <w:tcPr>
            <w:tcW w:w="2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c>
          <w:tcPr>
            <w:tcW w:w="1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比上年</w:t>
            </w:r>
            <w:r>
              <w:rPr>
                <w:rFonts w:hint="eastAsia" w:cs="Times New Roman"/>
                <w:b/>
                <w:i w:val="0"/>
                <w:color w:val="000000"/>
                <w:kern w:val="0"/>
                <w:sz w:val="20"/>
                <w:szCs w:val="20"/>
                <w:highlight w:val="none"/>
                <w:u w:val="none"/>
                <w:lang w:val="en-US" w:eastAsia="zh-CN" w:bidi="ar"/>
              </w:rPr>
              <w:t>预算数</w:t>
            </w:r>
            <w:r>
              <w:rPr>
                <w:rFonts w:hint="default" w:ascii="Times New Roman" w:hAnsi="Times New Roman" w:eastAsia="宋体" w:cs="Times New Roman"/>
                <w:b/>
                <w:i w:val="0"/>
                <w:color w:val="000000"/>
                <w:kern w:val="0"/>
                <w:sz w:val="20"/>
                <w:szCs w:val="20"/>
                <w:highlight w:val="none"/>
                <w:u w:val="none"/>
                <w:lang w:val="en-US" w:eastAsia="zh-CN" w:bidi="ar"/>
              </w:rPr>
              <w:t>增(减)%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209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b/>
                <w:bCs/>
                <w:i w:val="0"/>
                <w:color w:val="000000"/>
                <w:sz w:val="20"/>
                <w:szCs w:val="20"/>
                <w:highlight w:val="none"/>
                <w:u w:val="none"/>
                <w:lang w:val="en-US" w:eastAsia="zh-CN"/>
              </w:rPr>
            </w:pPr>
            <w:r>
              <w:rPr>
                <w:rFonts w:hint="eastAsia" w:eastAsia="方正小标宋_GBK" w:cs="Times New Roman"/>
                <w:b/>
                <w:bCs/>
                <w:i w:val="0"/>
                <w:color w:val="000000"/>
                <w:sz w:val="20"/>
                <w:szCs w:val="20"/>
                <w:highlight w:val="none"/>
                <w:u w:val="none"/>
                <w:lang w:val="en-US" w:eastAsia="zh-CN"/>
              </w:rPr>
              <w:t>485</w:t>
            </w:r>
          </w:p>
        </w:tc>
        <w:tc>
          <w:tcPr>
            <w:tcW w:w="211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b/>
                <w:bCs/>
                <w:i w:val="0"/>
                <w:color w:val="000000"/>
                <w:sz w:val="20"/>
                <w:szCs w:val="20"/>
                <w:highlight w:val="none"/>
                <w:u w:val="none"/>
                <w:lang w:val="en-US" w:eastAsia="zh-CN"/>
              </w:rPr>
            </w:pPr>
            <w:r>
              <w:rPr>
                <w:rFonts w:hint="eastAsia" w:eastAsia="方正小标宋_GBK" w:cs="Times New Roman"/>
                <w:b/>
                <w:bCs/>
                <w:i w:val="0"/>
                <w:color w:val="000000"/>
                <w:sz w:val="20"/>
                <w:szCs w:val="20"/>
                <w:highlight w:val="none"/>
                <w:u w:val="none"/>
                <w:lang w:val="en-US" w:eastAsia="zh-CN"/>
              </w:rPr>
              <w:t>495</w:t>
            </w:r>
          </w:p>
        </w:tc>
        <w:tc>
          <w:tcPr>
            <w:tcW w:w="17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sz w:val="20"/>
                <w:szCs w:val="20"/>
                <w:highlight w:val="none"/>
                <w:u w:val="none"/>
                <w:lang w:val="en-US" w:eastAsia="zh-CN"/>
              </w:rPr>
              <w:t>2.07%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jc w:val="center"/>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1.因公出国（境）费用</w:t>
            </w:r>
          </w:p>
        </w:tc>
        <w:tc>
          <w:tcPr>
            <w:tcW w:w="209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11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jc w:val="center"/>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2.公务接待费</w:t>
            </w:r>
          </w:p>
        </w:tc>
        <w:tc>
          <w:tcPr>
            <w:tcW w:w="209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kern w:val="2"/>
                <w:sz w:val="22"/>
                <w:szCs w:val="22"/>
                <w:u w:val="none"/>
                <w:lang w:val="en-US" w:eastAsia="zh-CN" w:bidi="ar-SA"/>
              </w:rPr>
            </w:pPr>
            <w:r>
              <w:rPr>
                <w:rFonts w:hint="default" w:ascii="Times New Roman" w:hAnsi="Times New Roman" w:eastAsia="等线" w:cs="Times New Roman"/>
                <w:i w:val="0"/>
                <w:iCs w:val="0"/>
                <w:color w:val="000000"/>
                <w:kern w:val="0"/>
                <w:sz w:val="22"/>
                <w:szCs w:val="22"/>
                <w:u w:val="none"/>
                <w:lang w:val="en-US" w:eastAsia="zh-CN" w:bidi="ar"/>
              </w:rPr>
              <w:t>2</w:t>
            </w:r>
          </w:p>
        </w:tc>
        <w:tc>
          <w:tcPr>
            <w:tcW w:w="211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2</w:t>
            </w:r>
          </w:p>
        </w:tc>
        <w:tc>
          <w:tcPr>
            <w:tcW w:w="17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u w:val="none"/>
                <w:lang w:val="en-US" w:eastAsia="zh-CN"/>
              </w:rPr>
              <w:t>0.00</w:t>
            </w:r>
            <w:r>
              <w:rPr>
                <w:rFonts w:hint="default" w:ascii="Times New Roman" w:hAnsi="Times New Roman" w:cs="Times New Roman"/>
                <w:i w:val="0"/>
                <w:color w:val="000000"/>
                <w:sz w:val="20"/>
                <w:szCs w:val="20"/>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3.公务用车费</w:t>
            </w:r>
          </w:p>
        </w:tc>
        <w:tc>
          <w:tcPr>
            <w:tcW w:w="209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eastAsia" w:eastAsia="方正小标宋_GBK" w:cs="Times New Roman"/>
                <w:i w:val="0"/>
                <w:color w:val="000000"/>
                <w:sz w:val="20"/>
                <w:szCs w:val="20"/>
                <w:highlight w:val="none"/>
                <w:u w:val="none"/>
                <w:lang w:val="en-US" w:eastAsia="zh-CN"/>
              </w:rPr>
              <w:t>483</w:t>
            </w:r>
          </w:p>
        </w:tc>
        <w:tc>
          <w:tcPr>
            <w:tcW w:w="211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eastAsia" w:eastAsia="方正小标宋_GBK" w:cs="Times New Roman"/>
                <w:i w:val="0"/>
                <w:color w:val="000000"/>
                <w:sz w:val="20"/>
                <w:szCs w:val="20"/>
                <w:highlight w:val="none"/>
                <w:u w:val="none"/>
                <w:lang w:val="en-US" w:eastAsia="zh-CN"/>
              </w:rPr>
              <w:t>493</w:t>
            </w:r>
          </w:p>
        </w:tc>
        <w:tc>
          <w:tcPr>
            <w:tcW w:w="17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2.07%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jc w:val="center"/>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其中：（1）公务用车运行维护费</w:t>
            </w:r>
          </w:p>
        </w:tc>
        <w:tc>
          <w:tcPr>
            <w:tcW w:w="209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eastAsia" w:eastAsia="方正小标宋_GBK" w:cs="Times New Roman"/>
                <w:i w:val="0"/>
                <w:color w:val="000000"/>
                <w:sz w:val="20"/>
                <w:szCs w:val="20"/>
                <w:highlight w:val="none"/>
                <w:u w:val="none"/>
                <w:lang w:val="en-US" w:eastAsia="zh-CN"/>
              </w:rPr>
              <w:t>483</w:t>
            </w:r>
          </w:p>
        </w:tc>
        <w:tc>
          <w:tcPr>
            <w:tcW w:w="211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eastAsia" w:eastAsia="方正小标宋_GBK" w:cs="Times New Roman"/>
                <w:i w:val="0"/>
                <w:color w:val="000000"/>
                <w:sz w:val="20"/>
                <w:szCs w:val="20"/>
                <w:highlight w:val="none"/>
                <w:u w:val="none"/>
                <w:lang w:val="en-US" w:eastAsia="zh-CN"/>
              </w:rPr>
              <w:t>493</w:t>
            </w:r>
          </w:p>
        </w:tc>
        <w:tc>
          <w:tcPr>
            <w:tcW w:w="17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2.07%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jc w:val="center"/>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600" w:firstLineChars="3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（2）公务用车购置费</w:t>
            </w:r>
          </w:p>
        </w:tc>
        <w:tc>
          <w:tcPr>
            <w:tcW w:w="209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11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bl>
    <w:p>
      <w:pPr>
        <w:jc w:val="both"/>
        <w:rPr>
          <w:rFonts w:hint="default" w:ascii="Times New Roman" w:hAnsi="Times New Roman" w:cs="Times New Roman"/>
          <w:b w:val="0"/>
          <w:bCs w:val="0"/>
          <w:sz w:val="22"/>
          <w:szCs w:val="22"/>
          <w:highlight w:val="none"/>
          <w:lang w:val="en-US" w:eastAsia="zh-Hans"/>
        </w:rPr>
      </w:pP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Hans"/>
        </w:rPr>
        <w:t>一、</w:t>
      </w:r>
      <w:r>
        <w:rPr>
          <w:rFonts w:hint="eastAsia" w:eastAsia="楷体_GB2312" w:cs="Times New Roman"/>
          <w:b/>
          <w:bCs w:val="0"/>
          <w:spacing w:val="-4"/>
          <w:sz w:val="32"/>
          <w:szCs w:val="32"/>
          <w:highlight w:val="none"/>
          <w:lang w:val="en-US" w:eastAsia="zh-CN"/>
        </w:rPr>
        <w:t>财政拨款</w:t>
      </w:r>
      <w:r>
        <w:rPr>
          <w:rFonts w:hint="default" w:ascii="Times New Roman" w:hAnsi="Times New Roman" w:eastAsia="楷体_GB2312" w:cs="Times New Roman"/>
          <w:b/>
          <w:bCs w:val="0"/>
          <w:spacing w:val="-4"/>
          <w:sz w:val="32"/>
          <w:szCs w:val="32"/>
          <w:highlight w:val="none"/>
          <w:lang w:val="en-US" w:eastAsia="zh-Hans"/>
        </w:rPr>
        <w:t>“三公”经费预算</w:t>
      </w:r>
      <w:r>
        <w:rPr>
          <w:rFonts w:hint="eastAsia" w:eastAsia="楷体_GB2312" w:cs="Times New Roman"/>
          <w:b/>
          <w:bCs w:val="0"/>
          <w:spacing w:val="-4"/>
          <w:sz w:val="32"/>
          <w:szCs w:val="32"/>
          <w:highlight w:val="none"/>
          <w:lang w:val="en-US" w:eastAsia="zh-CN"/>
        </w:rPr>
        <w:t>安排</w:t>
      </w:r>
      <w:r>
        <w:rPr>
          <w:rFonts w:hint="default" w:ascii="Times New Roman" w:hAnsi="Times New Roman" w:eastAsia="楷体_GB2312" w:cs="Times New Roman"/>
          <w:b/>
          <w:bCs w:val="0"/>
          <w:spacing w:val="-4"/>
          <w:sz w:val="32"/>
          <w:szCs w:val="32"/>
          <w:highlight w:val="none"/>
          <w:lang w:val="en-US" w:eastAsia="zh-Hans"/>
        </w:rPr>
        <w:t>情况</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3" w:firstLineChars="200"/>
        <w:jc w:val="both"/>
        <w:textAlignment w:val="auto"/>
        <w:outlineLvl w:val="9"/>
        <w:rPr>
          <w:rFonts w:hint="default" w:ascii="Times New Roman" w:hAnsi="Times New Roman" w:eastAsia="仿宋_GB2312" w:cs="Times New Roman"/>
          <w:b/>
          <w:bCs/>
          <w:color w:val="000000"/>
          <w:kern w:val="0"/>
          <w:sz w:val="32"/>
          <w:szCs w:val="32"/>
          <w:highlight w:val="none"/>
          <w:lang w:val="en-US" w:eastAsia="zh-Hans" w:bidi="ar"/>
        </w:rPr>
      </w:pPr>
      <w:r>
        <w:rPr>
          <w:rFonts w:hint="default" w:ascii="Times New Roman" w:hAnsi="Times New Roman" w:eastAsia="仿宋_GB2312" w:cs="Times New Roman"/>
          <w:b/>
          <w:bCs/>
          <w:color w:val="000000"/>
          <w:kern w:val="0"/>
          <w:sz w:val="32"/>
          <w:szCs w:val="32"/>
          <w:highlight w:val="none"/>
          <w:lang w:eastAsia="zh-Hans" w:bidi="ar"/>
        </w:rPr>
        <w:t>1</w:t>
      </w:r>
      <w:r>
        <w:rPr>
          <w:rFonts w:hint="default" w:ascii="Times New Roman" w:hAnsi="Times New Roman" w:eastAsia="仿宋_GB2312" w:cs="Times New Roman"/>
          <w:b/>
          <w:bCs/>
          <w:color w:val="000000"/>
          <w:kern w:val="0"/>
          <w:sz w:val="32"/>
          <w:szCs w:val="32"/>
          <w:highlight w:val="none"/>
          <w:lang w:val="en-US" w:eastAsia="zh-CN" w:bidi="ar"/>
        </w:rPr>
        <w:t>.</w:t>
      </w:r>
      <w:r>
        <w:rPr>
          <w:rFonts w:hint="default" w:ascii="Times New Roman" w:hAnsi="Times New Roman" w:eastAsia="仿宋_GB2312" w:cs="Times New Roman"/>
          <w:b/>
          <w:bCs/>
          <w:color w:val="000000"/>
          <w:kern w:val="0"/>
          <w:sz w:val="32"/>
          <w:szCs w:val="32"/>
          <w:highlight w:val="none"/>
          <w:lang w:val="en-US" w:eastAsia="zh-Hans" w:bidi="ar"/>
        </w:rPr>
        <w:t>基本情况</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仿宋_GB2312" w:cs="Times New Roman"/>
          <w:b/>
          <w:bCs/>
          <w:color w:val="000000"/>
          <w:kern w:val="0"/>
          <w:sz w:val="32"/>
          <w:szCs w:val="32"/>
          <w:highlight w:val="none"/>
          <w:lang w:eastAsia="zh-Hans" w:bidi="ar"/>
        </w:rPr>
      </w:pPr>
      <w:r>
        <w:rPr>
          <w:rFonts w:hint="default" w:ascii="Times New Roman" w:hAnsi="Times New Roman" w:eastAsia="仿宋_GB2312" w:cs="Times New Roman"/>
          <w:b w:val="0"/>
          <w:bCs w:val="0"/>
          <w:color w:val="000000"/>
          <w:kern w:val="0"/>
          <w:sz w:val="32"/>
          <w:szCs w:val="32"/>
          <w:highlight w:val="none"/>
          <w:lang w:eastAsia="zh-Hans" w:bidi="ar"/>
        </w:rPr>
        <w:t>20</w:t>
      </w:r>
      <w:r>
        <w:rPr>
          <w:rFonts w:hint="eastAsia" w:eastAsia="仿宋_GB2312" w:cs="Times New Roman"/>
          <w:b w:val="0"/>
          <w:bCs w:val="0"/>
          <w:color w:val="000000"/>
          <w:kern w:val="0"/>
          <w:sz w:val="32"/>
          <w:szCs w:val="32"/>
          <w:highlight w:val="none"/>
          <w:lang w:val="en-US" w:eastAsia="zh-CN" w:bidi="ar"/>
        </w:rPr>
        <w:t>26</w:t>
      </w:r>
      <w:r>
        <w:rPr>
          <w:rFonts w:hint="default" w:ascii="Times New Roman" w:hAnsi="Times New Roman" w:eastAsia="仿宋_GB2312" w:cs="Times New Roman"/>
          <w:b w:val="0"/>
          <w:bCs w:val="0"/>
          <w:color w:val="000000"/>
          <w:kern w:val="0"/>
          <w:sz w:val="32"/>
          <w:szCs w:val="32"/>
          <w:highlight w:val="none"/>
          <w:lang w:val="en-US" w:eastAsia="zh-Hans" w:bidi="ar"/>
        </w:rPr>
        <w:t>年</w:t>
      </w:r>
      <w:r>
        <w:rPr>
          <w:rFonts w:hint="eastAsia" w:eastAsia="仿宋_GB2312" w:cs="Times New Roman"/>
          <w:color w:val="000000"/>
          <w:kern w:val="0"/>
          <w:sz w:val="32"/>
          <w:szCs w:val="32"/>
          <w:highlight w:val="none"/>
          <w:lang w:eastAsia="zh-CN" w:bidi="ar"/>
        </w:rPr>
        <w:t>泽普县</w:t>
      </w:r>
      <w:r>
        <w:rPr>
          <w:rFonts w:hint="default" w:ascii="Times New Roman" w:hAnsi="Times New Roman" w:eastAsia="仿宋_GB2312" w:cs="Times New Roman"/>
          <w:b w:val="0"/>
          <w:bCs w:val="0"/>
          <w:color w:val="000000"/>
          <w:kern w:val="0"/>
          <w:sz w:val="32"/>
          <w:szCs w:val="32"/>
          <w:highlight w:val="none"/>
          <w:lang w:eastAsia="zh-Hans" w:bidi="ar"/>
        </w:rPr>
        <w:t>“</w:t>
      </w:r>
      <w:r>
        <w:rPr>
          <w:rFonts w:hint="default" w:ascii="Times New Roman" w:hAnsi="Times New Roman" w:eastAsia="仿宋_GB2312" w:cs="Times New Roman"/>
          <w:b w:val="0"/>
          <w:bCs w:val="0"/>
          <w:color w:val="000000"/>
          <w:kern w:val="0"/>
          <w:sz w:val="32"/>
          <w:szCs w:val="32"/>
          <w:highlight w:val="none"/>
          <w:lang w:val="en-US" w:eastAsia="zh-Hans" w:bidi="ar"/>
        </w:rPr>
        <w:t>三公</w:t>
      </w:r>
      <w:r>
        <w:rPr>
          <w:rFonts w:hint="default" w:ascii="Times New Roman" w:hAnsi="Times New Roman" w:eastAsia="仿宋_GB2312" w:cs="Times New Roman"/>
          <w:b w:val="0"/>
          <w:bCs w:val="0"/>
          <w:color w:val="000000"/>
          <w:kern w:val="0"/>
          <w:sz w:val="32"/>
          <w:szCs w:val="32"/>
          <w:highlight w:val="none"/>
          <w:lang w:eastAsia="zh-Hans" w:bidi="ar"/>
        </w:rPr>
        <w:t>”</w:t>
      </w:r>
      <w:r>
        <w:rPr>
          <w:rFonts w:hint="default" w:ascii="Times New Roman" w:hAnsi="Times New Roman" w:eastAsia="仿宋_GB2312" w:cs="Times New Roman"/>
          <w:b w:val="0"/>
          <w:bCs w:val="0"/>
          <w:color w:val="000000"/>
          <w:kern w:val="0"/>
          <w:sz w:val="32"/>
          <w:szCs w:val="32"/>
          <w:highlight w:val="none"/>
          <w:lang w:val="en-US" w:eastAsia="zh-Hans" w:bidi="ar"/>
        </w:rPr>
        <w:t>经费预算支出</w:t>
      </w:r>
      <w:r>
        <w:rPr>
          <w:rFonts w:hint="eastAsia" w:eastAsia="仿宋_GB2312" w:cs="Times New Roman"/>
          <w:b w:val="0"/>
          <w:bCs w:val="0"/>
          <w:color w:val="000000"/>
          <w:kern w:val="0"/>
          <w:sz w:val="32"/>
          <w:szCs w:val="32"/>
          <w:highlight w:val="none"/>
          <w:lang w:val="en-US" w:eastAsia="zh-CN" w:bidi="ar"/>
        </w:rPr>
        <w:t>495</w:t>
      </w:r>
      <w:r>
        <w:rPr>
          <w:rFonts w:hint="default" w:ascii="Times New Roman" w:hAnsi="Times New Roman" w:eastAsia="仿宋_GB2312" w:cs="Times New Roman"/>
          <w:b w:val="0"/>
          <w:bCs w:val="0"/>
          <w:color w:val="000000"/>
          <w:kern w:val="0"/>
          <w:sz w:val="32"/>
          <w:szCs w:val="32"/>
          <w:highlight w:val="none"/>
          <w:lang w:val="en-US" w:eastAsia="zh-Hans" w:bidi="ar"/>
        </w:rPr>
        <w:t>万元，较上年</w:t>
      </w:r>
      <w:r>
        <w:rPr>
          <w:rFonts w:hint="eastAsia" w:eastAsia="仿宋_GB2312" w:cs="Times New Roman"/>
          <w:b w:val="0"/>
          <w:bCs w:val="0"/>
          <w:color w:val="000000"/>
          <w:kern w:val="0"/>
          <w:sz w:val="32"/>
          <w:szCs w:val="32"/>
          <w:highlight w:val="none"/>
          <w:lang w:val="en-US" w:eastAsia="zh-CN" w:bidi="ar"/>
        </w:rPr>
        <w:t>485</w:t>
      </w:r>
      <w:r>
        <w:rPr>
          <w:rFonts w:hint="default" w:ascii="Times New Roman" w:hAnsi="Times New Roman" w:eastAsia="仿宋_GB2312" w:cs="Times New Roman"/>
          <w:b w:val="0"/>
          <w:bCs w:val="0"/>
          <w:color w:val="000000"/>
          <w:kern w:val="0"/>
          <w:sz w:val="32"/>
          <w:szCs w:val="32"/>
          <w:highlight w:val="none"/>
          <w:lang w:val="en-US" w:eastAsia="zh-Hans" w:bidi="ar"/>
        </w:rPr>
        <w:t>万元，增加</w:t>
      </w:r>
      <w:r>
        <w:rPr>
          <w:rFonts w:hint="eastAsia" w:eastAsia="仿宋_GB2312" w:cs="Times New Roman"/>
          <w:b w:val="0"/>
          <w:bCs w:val="0"/>
          <w:color w:val="000000"/>
          <w:kern w:val="0"/>
          <w:sz w:val="32"/>
          <w:szCs w:val="32"/>
          <w:highlight w:val="none"/>
          <w:lang w:val="en-US" w:eastAsia="zh-CN" w:bidi="ar"/>
        </w:rPr>
        <w:t>2.07</w:t>
      </w:r>
      <w:r>
        <w:rPr>
          <w:rFonts w:hint="default" w:ascii="Times New Roman" w:hAnsi="Times New Roman" w:eastAsia="仿宋_GB2312" w:cs="Times New Roman"/>
          <w:b w:val="0"/>
          <w:bCs w:val="0"/>
          <w:color w:val="000000"/>
          <w:kern w:val="0"/>
          <w:sz w:val="32"/>
          <w:szCs w:val="32"/>
          <w:highlight w:val="none"/>
          <w:lang w:eastAsia="zh-Hans" w:bidi="ar"/>
        </w:rPr>
        <w:t>%，</w:t>
      </w:r>
      <w:r>
        <w:rPr>
          <w:rFonts w:hint="default" w:ascii="Times New Roman" w:hAnsi="Times New Roman" w:eastAsia="仿宋_GB2312" w:cs="Times New Roman"/>
          <w:b w:val="0"/>
          <w:bCs w:val="0"/>
          <w:color w:val="000000"/>
          <w:kern w:val="0"/>
          <w:sz w:val="32"/>
          <w:szCs w:val="32"/>
          <w:highlight w:val="none"/>
          <w:lang w:val="en-US" w:eastAsia="zh-Hans" w:bidi="ar"/>
        </w:rPr>
        <w:t>其中公务接待费</w:t>
      </w:r>
      <w:r>
        <w:rPr>
          <w:rFonts w:hint="eastAsia" w:eastAsia="仿宋_GB2312" w:cs="Times New Roman"/>
          <w:b w:val="0"/>
          <w:bCs w:val="0"/>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Hans" w:bidi="ar"/>
        </w:rPr>
        <w:t>万元，因公出国（境）费用</w:t>
      </w:r>
      <w:r>
        <w:rPr>
          <w:rFonts w:hint="eastAsia" w:eastAsia="仿宋_GB2312" w:cs="Times New Roman"/>
          <w:color w:val="000000"/>
          <w:kern w:val="0"/>
          <w:sz w:val="32"/>
          <w:szCs w:val="32"/>
          <w:highlight w:val="none"/>
          <w:lang w:val="en-US" w:eastAsia="zh-CN" w:bidi="ar"/>
        </w:rPr>
        <w:t>0</w:t>
      </w:r>
      <w:r>
        <w:rPr>
          <w:rFonts w:hint="default" w:ascii="Times New Roman" w:hAnsi="Times New Roman" w:eastAsia="仿宋_GB2312" w:cs="Times New Roman"/>
          <w:color w:val="000000"/>
          <w:kern w:val="0"/>
          <w:sz w:val="32"/>
          <w:szCs w:val="32"/>
          <w:highlight w:val="none"/>
          <w:lang w:val="en-US" w:eastAsia="zh-Hans" w:bidi="ar"/>
        </w:rPr>
        <w:t>万元，公车费用</w:t>
      </w:r>
      <w:r>
        <w:rPr>
          <w:rFonts w:hint="eastAsia" w:eastAsia="仿宋_GB2312" w:cs="Times New Roman"/>
          <w:color w:val="000000"/>
          <w:kern w:val="0"/>
          <w:sz w:val="32"/>
          <w:szCs w:val="32"/>
          <w:highlight w:val="none"/>
          <w:lang w:val="en-US" w:eastAsia="zh-CN" w:bidi="ar"/>
        </w:rPr>
        <w:t>493</w:t>
      </w:r>
      <w:r>
        <w:rPr>
          <w:rFonts w:hint="default" w:ascii="Times New Roman" w:hAnsi="Times New Roman" w:eastAsia="仿宋_GB2312" w:cs="Times New Roman"/>
          <w:color w:val="000000"/>
          <w:kern w:val="0"/>
          <w:sz w:val="32"/>
          <w:szCs w:val="32"/>
          <w:highlight w:val="none"/>
          <w:lang w:val="en-US" w:eastAsia="zh-Hans" w:bidi="ar"/>
        </w:rPr>
        <w:t>万元（包括车辆购置费</w:t>
      </w:r>
      <w:r>
        <w:rPr>
          <w:rFonts w:hint="eastAsia" w:eastAsia="仿宋_GB2312" w:cs="Times New Roman"/>
          <w:color w:val="000000"/>
          <w:kern w:val="0"/>
          <w:sz w:val="32"/>
          <w:szCs w:val="32"/>
          <w:highlight w:val="none"/>
          <w:lang w:val="en-US" w:eastAsia="zh-CN" w:bidi="ar"/>
        </w:rPr>
        <w:t>0</w:t>
      </w:r>
      <w:r>
        <w:rPr>
          <w:rFonts w:hint="default" w:ascii="Times New Roman" w:hAnsi="Times New Roman" w:eastAsia="仿宋_GB2312" w:cs="Times New Roman"/>
          <w:color w:val="000000"/>
          <w:kern w:val="0"/>
          <w:sz w:val="32"/>
          <w:szCs w:val="32"/>
          <w:highlight w:val="none"/>
          <w:lang w:val="en-US" w:eastAsia="zh-Hans" w:bidi="ar"/>
        </w:rPr>
        <w:t>万元，车辆运行及维护费</w:t>
      </w:r>
      <w:r>
        <w:rPr>
          <w:rFonts w:hint="eastAsia" w:eastAsia="仿宋_GB2312" w:cs="Times New Roman"/>
          <w:color w:val="000000"/>
          <w:kern w:val="0"/>
          <w:sz w:val="32"/>
          <w:szCs w:val="32"/>
          <w:highlight w:val="none"/>
          <w:lang w:val="en-US" w:eastAsia="zh-CN" w:bidi="ar"/>
        </w:rPr>
        <w:t>493</w:t>
      </w:r>
      <w:r>
        <w:rPr>
          <w:rFonts w:hint="default" w:ascii="Times New Roman" w:hAnsi="Times New Roman" w:eastAsia="仿宋_GB2312" w:cs="Times New Roman"/>
          <w:color w:val="000000"/>
          <w:kern w:val="0"/>
          <w:sz w:val="32"/>
          <w:szCs w:val="32"/>
          <w:highlight w:val="none"/>
          <w:lang w:val="en-US" w:eastAsia="zh-Hans" w:bidi="ar"/>
        </w:rPr>
        <w:t>万元）。</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3" w:firstLineChars="200"/>
        <w:jc w:val="both"/>
        <w:textAlignment w:val="auto"/>
        <w:outlineLvl w:val="9"/>
        <w:rPr>
          <w:rFonts w:hint="default" w:ascii="Times New Roman" w:hAnsi="Times New Roman" w:eastAsia="仿宋_GB2312" w:cs="Times New Roman"/>
          <w:b/>
          <w:bCs/>
          <w:color w:val="000000"/>
          <w:kern w:val="0"/>
          <w:sz w:val="32"/>
          <w:szCs w:val="32"/>
          <w:highlight w:val="none"/>
          <w:lang w:val="en-US" w:eastAsia="zh-Hans" w:bidi="ar"/>
        </w:rPr>
      </w:pPr>
      <w:r>
        <w:rPr>
          <w:rFonts w:hint="default" w:ascii="Times New Roman" w:hAnsi="Times New Roman" w:eastAsia="仿宋_GB2312" w:cs="Times New Roman"/>
          <w:b/>
          <w:bCs/>
          <w:color w:val="000000"/>
          <w:kern w:val="0"/>
          <w:sz w:val="32"/>
          <w:szCs w:val="32"/>
          <w:highlight w:val="none"/>
          <w:lang w:eastAsia="zh-Hans" w:bidi="ar"/>
        </w:rPr>
        <w:t>2</w:t>
      </w:r>
      <w:r>
        <w:rPr>
          <w:rFonts w:hint="default" w:ascii="Times New Roman" w:hAnsi="Times New Roman" w:eastAsia="仿宋_GB2312" w:cs="Times New Roman"/>
          <w:b/>
          <w:bCs/>
          <w:color w:val="000000"/>
          <w:kern w:val="0"/>
          <w:sz w:val="32"/>
          <w:szCs w:val="32"/>
          <w:highlight w:val="none"/>
          <w:lang w:eastAsia="zh-CN" w:bidi="ar"/>
        </w:rPr>
        <w:t>.</w:t>
      </w:r>
      <w:r>
        <w:rPr>
          <w:rFonts w:hint="default" w:ascii="Times New Roman" w:hAnsi="Times New Roman" w:eastAsia="仿宋_GB2312" w:cs="Times New Roman"/>
          <w:b/>
          <w:bCs/>
          <w:color w:val="000000"/>
          <w:kern w:val="0"/>
          <w:sz w:val="32"/>
          <w:szCs w:val="32"/>
          <w:highlight w:val="none"/>
          <w:lang w:val="en-US" w:eastAsia="zh-Hans" w:bidi="ar"/>
        </w:rPr>
        <w:t>增减变化原因</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color w:val="000000"/>
          <w:kern w:val="0"/>
          <w:sz w:val="32"/>
          <w:szCs w:val="32"/>
          <w:highlight w:val="none"/>
          <w:lang w:val="en-US" w:eastAsia="zh-Hans" w:bidi="ar"/>
        </w:rPr>
      </w:pPr>
      <w:r>
        <w:rPr>
          <w:rFonts w:hint="default" w:ascii="Times New Roman" w:hAnsi="Times New Roman" w:eastAsia="仿宋_GB2312" w:cs="Times New Roman"/>
          <w:b w:val="0"/>
          <w:bCs w:val="0"/>
          <w:color w:val="000000"/>
          <w:kern w:val="0"/>
          <w:sz w:val="32"/>
          <w:szCs w:val="32"/>
          <w:highlight w:val="none"/>
          <w:lang w:val="en-US" w:eastAsia="zh-Hans" w:bidi="ar"/>
        </w:rPr>
        <w:t>20</w:t>
      </w:r>
      <w:r>
        <w:rPr>
          <w:rFonts w:hint="eastAsia" w:eastAsia="仿宋_GB2312" w:cs="Times New Roman"/>
          <w:b w:val="0"/>
          <w:bCs w:val="0"/>
          <w:color w:val="000000"/>
          <w:kern w:val="0"/>
          <w:sz w:val="32"/>
          <w:szCs w:val="32"/>
          <w:highlight w:val="none"/>
          <w:lang w:val="en-US" w:eastAsia="zh-CN" w:bidi="ar"/>
        </w:rPr>
        <w:t>26</w:t>
      </w:r>
      <w:r>
        <w:rPr>
          <w:rFonts w:hint="default" w:ascii="Times New Roman" w:hAnsi="Times New Roman" w:eastAsia="仿宋_GB2312" w:cs="Times New Roman"/>
          <w:b w:val="0"/>
          <w:bCs w:val="0"/>
          <w:color w:val="000000"/>
          <w:kern w:val="0"/>
          <w:sz w:val="32"/>
          <w:szCs w:val="32"/>
          <w:highlight w:val="none"/>
          <w:lang w:val="en-US" w:eastAsia="zh-Hans" w:bidi="ar"/>
        </w:rPr>
        <w:t>年“三公”经费增加的主要原因是：泽普县古勒巴格乡人民政府</w:t>
      </w:r>
      <w:r>
        <w:rPr>
          <w:rFonts w:hint="eastAsia" w:eastAsia="仿宋_GB2312" w:cs="Times New Roman"/>
          <w:b w:val="0"/>
          <w:bCs w:val="0"/>
          <w:color w:val="000000"/>
          <w:kern w:val="0"/>
          <w:sz w:val="32"/>
          <w:szCs w:val="32"/>
          <w:highlight w:val="none"/>
          <w:lang w:val="en-US" w:eastAsia="zh-CN" w:bidi="ar"/>
        </w:rPr>
        <w:t>以及中共泽普县纪律检查委员会等相关部门较上年同期新增公务用车3辆</w:t>
      </w:r>
      <w:r>
        <w:rPr>
          <w:rFonts w:hint="default" w:ascii="Times New Roman" w:hAnsi="Times New Roman" w:eastAsia="仿宋_GB2312" w:cs="Times New Roman"/>
          <w:b w:val="0"/>
          <w:bCs w:val="0"/>
          <w:color w:val="000000"/>
          <w:kern w:val="0"/>
          <w:sz w:val="32"/>
          <w:szCs w:val="32"/>
          <w:highlight w:val="none"/>
          <w:lang w:val="en-US" w:eastAsia="zh-Hans" w:bidi="ar"/>
        </w:rPr>
        <w:t>。</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color w:val="000000"/>
          <w:kern w:val="0"/>
          <w:sz w:val="32"/>
          <w:szCs w:val="32"/>
          <w:highlight w:val="none"/>
          <w:lang w:val="en-US" w:eastAsia="zh-Hans" w:bidi="ar"/>
        </w:rPr>
      </w:pPr>
    </w:p>
    <w:p>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p>
    <w:p>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第四部分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Hans"/>
        </w:rPr>
        <w:t>转移支付安排情况说明</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CN"/>
        </w:rPr>
        <w:t>一、</w:t>
      </w:r>
      <w:r>
        <w:rPr>
          <w:rFonts w:hint="default" w:ascii="Times New Roman" w:hAnsi="Times New Roman" w:eastAsia="楷体_GB2312" w:cs="Times New Roman"/>
          <w:b/>
          <w:bCs w:val="0"/>
          <w:spacing w:val="-4"/>
          <w:sz w:val="32"/>
          <w:szCs w:val="32"/>
          <w:highlight w:val="none"/>
          <w:lang w:val="en-US" w:eastAsia="zh-Hans"/>
        </w:rPr>
        <w:t>一般公共预算对下转移支付情况</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（一）202</w:t>
      </w:r>
      <w:r>
        <w:rPr>
          <w:rFonts w:hint="eastAsia"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lang w:val="en-US" w:eastAsia="zh-CN"/>
        </w:rPr>
        <w:t>年度泽普县无一般公共预算对下转移支付；</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（二）202</w:t>
      </w:r>
      <w:r>
        <w:rPr>
          <w:rFonts w:hint="eastAsia"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lang w:val="en-US" w:eastAsia="zh-CN"/>
        </w:rPr>
        <w:t>年度自治区对泽普县一般公共预算转移支付安排如下：</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返还性收入1306万元，其中：所得税基数返还收入547万元；增值税税收返还收入759万元。</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一般性转移支付收入</w:t>
      </w:r>
      <w:r>
        <w:rPr>
          <w:rFonts w:hint="eastAsia" w:eastAsia="方正仿宋_GBK" w:cs="Times New Roman"/>
          <w:sz w:val="32"/>
          <w:szCs w:val="32"/>
          <w:highlight w:val="none"/>
          <w:lang w:val="en-US" w:eastAsia="zh-CN"/>
        </w:rPr>
        <w:t>230843</w:t>
      </w:r>
      <w:r>
        <w:rPr>
          <w:rFonts w:hint="default" w:ascii="Times New Roman" w:hAnsi="Times New Roman" w:eastAsia="方正仿宋_GBK" w:cs="Times New Roman"/>
          <w:sz w:val="32"/>
          <w:szCs w:val="32"/>
          <w:highlight w:val="none"/>
          <w:lang w:val="en-US" w:eastAsia="zh-CN"/>
        </w:rPr>
        <w:t>万元。其中：体制补助收入</w:t>
      </w:r>
      <w:r>
        <w:rPr>
          <w:rFonts w:hint="eastAsia" w:ascii="Times New Roman" w:hAnsi="Times New Roman" w:eastAsia="方正仿宋_GBK" w:cs="Times New Roman"/>
          <w:sz w:val="32"/>
          <w:szCs w:val="32"/>
          <w:highlight w:val="none"/>
          <w:lang w:val="en-US" w:eastAsia="zh-CN"/>
        </w:rPr>
        <w:t>10287</w:t>
      </w:r>
      <w:r>
        <w:rPr>
          <w:rFonts w:hint="default" w:ascii="Times New Roman" w:hAnsi="Times New Roman" w:eastAsia="方正仿宋_GBK" w:cs="Times New Roman"/>
          <w:sz w:val="32"/>
          <w:szCs w:val="32"/>
          <w:highlight w:val="none"/>
          <w:lang w:val="en-US" w:eastAsia="zh-CN"/>
        </w:rPr>
        <w:t>万元；均衡性转移支付收入</w:t>
      </w:r>
      <w:r>
        <w:rPr>
          <w:rFonts w:hint="eastAsia" w:ascii="Times New Roman" w:hAnsi="Times New Roman" w:eastAsia="方正仿宋_GBK" w:cs="Times New Roman"/>
          <w:sz w:val="32"/>
          <w:szCs w:val="32"/>
          <w:highlight w:val="none"/>
          <w:lang w:val="en-US" w:eastAsia="zh-CN"/>
        </w:rPr>
        <w:t>29477</w:t>
      </w:r>
      <w:r>
        <w:rPr>
          <w:rFonts w:hint="default" w:ascii="Times New Roman" w:hAnsi="Times New Roman" w:eastAsia="方正仿宋_GBK" w:cs="Times New Roman"/>
          <w:sz w:val="32"/>
          <w:szCs w:val="32"/>
          <w:highlight w:val="none"/>
          <w:lang w:val="en-US" w:eastAsia="zh-CN"/>
        </w:rPr>
        <w:t>万元；县级基本财力保障机制奖补资金收入</w:t>
      </w:r>
      <w:r>
        <w:rPr>
          <w:rFonts w:hint="eastAsia" w:eastAsia="方正仿宋_GBK" w:cs="Times New Roman"/>
          <w:sz w:val="32"/>
          <w:szCs w:val="32"/>
          <w:highlight w:val="none"/>
          <w:lang w:val="en-US" w:eastAsia="zh-CN"/>
        </w:rPr>
        <w:t>17614</w:t>
      </w:r>
      <w:r>
        <w:rPr>
          <w:rFonts w:hint="default" w:ascii="Times New Roman" w:hAnsi="Times New Roman" w:eastAsia="方正仿宋_GBK" w:cs="Times New Roman"/>
          <w:sz w:val="32"/>
          <w:szCs w:val="32"/>
          <w:highlight w:val="none"/>
          <w:lang w:val="en-US" w:eastAsia="zh-CN"/>
        </w:rPr>
        <w:t>万元；结算补助0万元；产粮（油）大县奖励资金收入</w:t>
      </w:r>
      <w:r>
        <w:rPr>
          <w:rFonts w:hint="eastAsia" w:ascii="Times New Roman" w:hAnsi="Times New Roman" w:eastAsia="方正仿宋_GBK" w:cs="Times New Roman"/>
          <w:sz w:val="32"/>
          <w:szCs w:val="32"/>
          <w:highlight w:val="none"/>
          <w:lang w:val="en-US" w:eastAsia="zh-CN"/>
        </w:rPr>
        <w:t>1150</w:t>
      </w:r>
      <w:r>
        <w:rPr>
          <w:rFonts w:hint="default" w:ascii="Times New Roman" w:hAnsi="Times New Roman" w:eastAsia="方正仿宋_GBK" w:cs="Times New Roman"/>
          <w:sz w:val="32"/>
          <w:szCs w:val="32"/>
          <w:highlight w:val="none"/>
          <w:lang w:val="en-US" w:eastAsia="zh-CN"/>
        </w:rPr>
        <w:t>万元；重点生态功能区转移支付收入</w:t>
      </w:r>
      <w:r>
        <w:rPr>
          <w:rFonts w:hint="eastAsia" w:ascii="Times New Roman" w:hAnsi="Times New Roman" w:eastAsia="方正仿宋_GBK" w:cs="Times New Roman"/>
          <w:sz w:val="32"/>
          <w:szCs w:val="32"/>
          <w:highlight w:val="none"/>
          <w:lang w:val="en-US" w:eastAsia="zh-CN"/>
        </w:rPr>
        <w:t>8031</w:t>
      </w:r>
      <w:r>
        <w:rPr>
          <w:rFonts w:hint="default" w:ascii="Times New Roman" w:hAnsi="Times New Roman" w:eastAsia="方正仿宋_GBK" w:cs="Times New Roman"/>
          <w:sz w:val="32"/>
          <w:szCs w:val="32"/>
          <w:highlight w:val="none"/>
          <w:lang w:val="en-US" w:eastAsia="zh-CN"/>
        </w:rPr>
        <w:t>万元；固定数额补助收入</w:t>
      </w:r>
      <w:r>
        <w:rPr>
          <w:rFonts w:hint="eastAsia" w:ascii="Times New Roman" w:hAnsi="Times New Roman" w:eastAsia="方正仿宋_GBK" w:cs="Times New Roman"/>
          <w:sz w:val="32"/>
          <w:szCs w:val="32"/>
          <w:highlight w:val="none"/>
          <w:lang w:val="en-US" w:eastAsia="zh-CN"/>
        </w:rPr>
        <w:t>68459</w:t>
      </w:r>
      <w:r>
        <w:rPr>
          <w:rFonts w:hint="default" w:ascii="Times New Roman" w:hAnsi="Times New Roman" w:eastAsia="方正仿宋_GBK" w:cs="Times New Roman"/>
          <w:sz w:val="32"/>
          <w:szCs w:val="32"/>
          <w:highlight w:val="none"/>
          <w:lang w:val="en-US" w:eastAsia="zh-CN"/>
        </w:rPr>
        <w:t>万元；巩固脱贫攻坚成果衔接乡村振兴转移支付收入</w:t>
      </w:r>
      <w:r>
        <w:rPr>
          <w:rFonts w:hint="eastAsia" w:ascii="Times New Roman" w:hAnsi="Times New Roman" w:eastAsia="方正仿宋_GBK" w:cs="Times New Roman"/>
          <w:sz w:val="32"/>
          <w:szCs w:val="32"/>
          <w:highlight w:val="none"/>
          <w:lang w:val="en-US" w:eastAsia="zh-CN"/>
        </w:rPr>
        <w:t>21996</w:t>
      </w:r>
      <w:r>
        <w:rPr>
          <w:rFonts w:hint="default" w:ascii="Times New Roman" w:hAnsi="Times New Roman" w:eastAsia="方正仿宋_GBK" w:cs="Times New Roman"/>
          <w:sz w:val="32"/>
          <w:szCs w:val="32"/>
          <w:highlight w:val="none"/>
          <w:lang w:val="en-US" w:eastAsia="zh-CN"/>
        </w:rPr>
        <w:t>万元；一般公共服务共同财政事权转移支付收入</w:t>
      </w:r>
      <w:r>
        <w:rPr>
          <w:rFonts w:hint="eastAsia" w:ascii="Times New Roman" w:hAnsi="Times New Roman" w:eastAsia="方正仿宋_GBK" w:cs="Times New Roman"/>
          <w:sz w:val="32"/>
          <w:szCs w:val="32"/>
          <w:highlight w:val="none"/>
          <w:lang w:val="en-US" w:eastAsia="zh-CN"/>
        </w:rPr>
        <w:t>2588</w:t>
      </w:r>
      <w:r>
        <w:rPr>
          <w:rFonts w:hint="default" w:ascii="Times New Roman" w:hAnsi="Times New Roman" w:eastAsia="方正仿宋_GBK" w:cs="Times New Roman"/>
          <w:sz w:val="32"/>
          <w:szCs w:val="32"/>
          <w:highlight w:val="none"/>
          <w:lang w:val="en-US" w:eastAsia="zh-CN"/>
        </w:rPr>
        <w:t>万元；公共安全共同财政事权转移支付收入</w:t>
      </w:r>
      <w:r>
        <w:rPr>
          <w:rFonts w:hint="eastAsia" w:ascii="Times New Roman" w:hAnsi="Times New Roman" w:eastAsia="方正仿宋_GBK" w:cs="Times New Roman"/>
          <w:sz w:val="32"/>
          <w:szCs w:val="32"/>
          <w:highlight w:val="none"/>
          <w:lang w:val="en-US" w:eastAsia="zh-CN"/>
        </w:rPr>
        <w:t>2800</w:t>
      </w:r>
      <w:r>
        <w:rPr>
          <w:rFonts w:hint="default" w:ascii="Times New Roman" w:hAnsi="Times New Roman" w:eastAsia="方正仿宋_GBK" w:cs="Times New Roman"/>
          <w:sz w:val="32"/>
          <w:szCs w:val="32"/>
          <w:highlight w:val="none"/>
          <w:lang w:val="en-US" w:eastAsia="zh-CN"/>
        </w:rPr>
        <w:t>万元；教育共同财政事权转移支付收入</w:t>
      </w:r>
      <w:r>
        <w:rPr>
          <w:rFonts w:hint="eastAsia" w:ascii="Times New Roman" w:hAnsi="Times New Roman" w:eastAsia="方正仿宋_GBK" w:cs="Times New Roman"/>
          <w:sz w:val="32"/>
          <w:szCs w:val="32"/>
          <w:highlight w:val="none"/>
          <w:lang w:val="en-US" w:eastAsia="zh-CN"/>
        </w:rPr>
        <w:t>20559</w:t>
      </w:r>
      <w:r>
        <w:rPr>
          <w:rFonts w:hint="default" w:ascii="Times New Roman" w:hAnsi="Times New Roman" w:eastAsia="方正仿宋_GBK" w:cs="Times New Roman"/>
          <w:sz w:val="32"/>
          <w:szCs w:val="32"/>
          <w:highlight w:val="none"/>
          <w:lang w:val="en-US" w:eastAsia="zh-CN"/>
        </w:rPr>
        <w:t>万元；</w:t>
      </w:r>
      <w:r>
        <w:rPr>
          <w:rFonts w:hint="eastAsia" w:ascii="Times New Roman" w:hAnsi="Times New Roman" w:eastAsia="方正仿宋_GBK" w:cs="Times New Roman"/>
          <w:sz w:val="32"/>
          <w:szCs w:val="32"/>
          <w:highlight w:val="none"/>
          <w:lang w:val="en-US" w:eastAsia="zh-CN"/>
        </w:rPr>
        <w:t>科学技术</w:t>
      </w:r>
      <w:r>
        <w:rPr>
          <w:rFonts w:hint="default" w:ascii="Times New Roman" w:hAnsi="Times New Roman" w:eastAsia="方正仿宋_GBK" w:cs="Times New Roman"/>
          <w:sz w:val="32"/>
          <w:szCs w:val="32"/>
          <w:highlight w:val="none"/>
          <w:lang w:val="en-US" w:eastAsia="zh-CN"/>
        </w:rPr>
        <w:t>共同财政事权转移支付收入</w:t>
      </w:r>
      <w:r>
        <w:rPr>
          <w:rFonts w:hint="eastAsia" w:ascii="Times New Roman" w:hAnsi="Times New Roman" w:eastAsia="方正仿宋_GBK" w:cs="Times New Roman"/>
          <w:sz w:val="32"/>
          <w:szCs w:val="32"/>
          <w:highlight w:val="none"/>
          <w:lang w:val="en-US" w:eastAsia="zh-CN"/>
        </w:rPr>
        <w:t>18万元；</w:t>
      </w:r>
      <w:r>
        <w:rPr>
          <w:rFonts w:hint="default" w:ascii="Times New Roman" w:hAnsi="Times New Roman" w:eastAsia="方正仿宋_GBK" w:cs="Times New Roman"/>
          <w:sz w:val="32"/>
          <w:szCs w:val="32"/>
          <w:highlight w:val="none"/>
          <w:lang w:val="en-US" w:eastAsia="zh-CN"/>
        </w:rPr>
        <w:t>文化旅游体育与传媒共同财政事权转移支付收入</w:t>
      </w:r>
      <w:r>
        <w:rPr>
          <w:rFonts w:hint="eastAsia" w:ascii="Times New Roman" w:hAnsi="Times New Roman" w:eastAsia="方正仿宋_GBK" w:cs="Times New Roman"/>
          <w:sz w:val="32"/>
          <w:szCs w:val="32"/>
          <w:highlight w:val="none"/>
          <w:lang w:val="en-US" w:eastAsia="zh-CN"/>
        </w:rPr>
        <w:t>632</w:t>
      </w:r>
      <w:r>
        <w:rPr>
          <w:rFonts w:hint="default" w:ascii="Times New Roman" w:hAnsi="Times New Roman" w:eastAsia="方正仿宋_GBK" w:cs="Times New Roman"/>
          <w:sz w:val="32"/>
          <w:szCs w:val="32"/>
          <w:highlight w:val="none"/>
          <w:lang w:val="en-US" w:eastAsia="zh-CN"/>
        </w:rPr>
        <w:t>万元；社会保障和就业共同财政事权转移支付收入</w:t>
      </w:r>
      <w:r>
        <w:rPr>
          <w:rFonts w:hint="eastAsia" w:ascii="Times New Roman" w:hAnsi="Times New Roman" w:eastAsia="方正仿宋_GBK" w:cs="Times New Roman"/>
          <w:sz w:val="32"/>
          <w:szCs w:val="32"/>
          <w:highlight w:val="none"/>
          <w:lang w:val="en-US" w:eastAsia="zh-CN"/>
        </w:rPr>
        <w:t>18652</w:t>
      </w:r>
      <w:r>
        <w:rPr>
          <w:rFonts w:hint="default" w:ascii="Times New Roman" w:hAnsi="Times New Roman" w:eastAsia="方正仿宋_GBK" w:cs="Times New Roman"/>
          <w:sz w:val="32"/>
          <w:szCs w:val="32"/>
          <w:highlight w:val="none"/>
          <w:lang w:val="en-US" w:eastAsia="zh-CN"/>
        </w:rPr>
        <w:t>万元；医疗卫生共同财政事权转移支付收入</w:t>
      </w:r>
      <w:r>
        <w:rPr>
          <w:rFonts w:hint="eastAsia" w:ascii="Times New Roman" w:hAnsi="Times New Roman" w:eastAsia="方正仿宋_GBK" w:cs="Times New Roman"/>
          <w:sz w:val="32"/>
          <w:szCs w:val="32"/>
          <w:highlight w:val="none"/>
          <w:lang w:val="en-US" w:eastAsia="zh-CN"/>
        </w:rPr>
        <w:t>8251</w:t>
      </w:r>
      <w:r>
        <w:rPr>
          <w:rFonts w:hint="default" w:ascii="Times New Roman" w:hAnsi="Times New Roman" w:eastAsia="方正仿宋_GBK" w:cs="Times New Roman"/>
          <w:sz w:val="32"/>
          <w:szCs w:val="32"/>
          <w:highlight w:val="none"/>
          <w:lang w:val="en-US" w:eastAsia="zh-CN"/>
        </w:rPr>
        <w:t>万元；节能环保共同财政事权转移支付收入</w:t>
      </w:r>
      <w:r>
        <w:rPr>
          <w:rFonts w:hint="eastAsia" w:ascii="Times New Roman" w:hAnsi="Times New Roman" w:eastAsia="方正仿宋_GBK" w:cs="Times New Roman"/>
          <w:sz w:val="32"/>
          <w:szCs w:val="32"/>
          <w:highlight w:val="none"/>
          <w:lang w:val="en-US" w:eastAsia="zh-CN"/>
        </w:rPr>
        <w:t>987</w:t>
      </w:r>
      <w:r>
        <w:rPr>
          <w:rFonts w:hint="default" w:ascii="Times New Roman" w:hAnsi="Times New Roman" w:eastAsia="方正仿宋_GBK" w:cs="Times New Roman"/>
          <w:sz w:val="32"/>
          <w:szCs w:val="32"/>
          <w:highlight w:val="none"/>
          <w:lang w:val="en-US" w:eastAsia="zh-CN"/>
        </w:rPr>
        <w:t>万元；农林水共同财政事权转移支付收入</w:t>
      </w:r>
      <w:r>
        <w:rPr>
          <w:rFonts w:hint="eastAsia" w:ascii="Times New Roman" w:hAnsi="Times New Roman" w:eastAsia="方正仿宋_GBK" w:cs="Times New Roman"/>
          <w:sz w:val="32"/>
          <w:szCs w:val="32"/>
          <w:highlight w:val="none"/>
          <w:lang w:val="en-US" w:eastAsia="zh-CN"/>
        </w:rPr>
        <w:t>17769</w:t>
      </w:r>
      <w:r>
        <w:rPr>
          <w:rFonts w:hint="default" w:ascii="Times New Roman" w:hAnsi="Times New Roman" w:eastAsia="方正仿宋_GBK" w:cs="Times New Roman"/>
          <w:sz w:val="32"/>
          <w:szCs w:val="32"/>
          <w:highlight w:val="none"/>
          <w:lang w:val="en-US" w:eastAsia="zh-CN"/>
        </w:rPr>
        <w:t>万元；交通运输共同财政事权转移支付收入</w:t>
      </w:r>
      <w:r>
        <w:rPr>
          <w:rFonts w:hint="eastAsia" w:eastAsia="方正仿宋_GBK" w:cs="Times New Roman"/>
          <w:sz w:val="32"/>
          <w:szCs w:val="32"/>
          <w:highlight w:val="none"/>
          <w:lang w:val="en-US" w:eastAsia="zh-CN"/>
        </w:rPr>
        <w:t>192</w:t>
      </w:r>
      <w:r>
        <w:rPr>
          <w:rFonts w:hint="default" w:ascii="Times New Roman" w:hAnsi="Times New Roman" w:eastAsia="方正仿宋_GBK" w:cs="Times New Roman"/>
          <w:sz w:val="32"/>
          <w:szCs w:val="32"/>
          <w:highlight w:val="none"/>
          <w:lang w:val="en-US" w:eastAsia="zh-CN"/>
        </w:rPr>
        <w:t>万元；住房保障共同财政事权转移支付收入</w:t>
      </w:r>
      <w:r>
        <w:rPr>
          <w:rFonts w:hint="eastAsia" w:ascii="Times New Roman" w:hAnsi="Times New Roman" w:eastAsia="方正仿宋_GBK" w:cs="Times New Roman"/>
          <w:sz w:val="32"/>
          <w:szCs w:val="32"/>
          <w:highlight w:val="none"/>
          <w:lang w:val="en-US" w:eastAsia="zh-CN"/>
        </w:rPr>
        <w:t>1381</w:t>
      </w:r>
      <w:r>
        <w:rPr>
          <w:rFonts w:hint="default" w:ascii="Times New Roman" w:hAnsi="Times New Roman" w:eastAsia="方正仿宋_GBK" w:cs="Times New Roman"/>
          <w:sz w:val="32"/>
          <w:szCs w:val="32"/>
          <w:highlight w:val="none"/>
          <w:lang w:val="en-US" w:eastAsia="zh-CN"/>
        </w:rPr>
        <w:t xml:space="preserve">万元；其他共同财政事权转移支付收入0万元。以上转移支付收入已按要求编入年度预算，预算执行中按规定用途使用。 </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专项转移支付收入</w:t>
      </w:r>
      <w:r>
        <w:rPr>
          <w:rFonts w:hint="eastAsia" w:eastAsia="方正仿宋_GBK" w:cs="Times New Roman"/>
          <w:sz w:val="32"/>
          <w:szCs w:val="32"/>
          <w:highlight w:val="none"/>
          <w:lang w:val="en-US" w:eastAsia="zh-CN"/>
        </w:rPr>
        <w:t>2636</w:t>
      </w:r>
      <w:r>
        <w:rPr>
          <w:rFonts w:hint="default" w:ascii="Times New Roman" w:hAnsi="Times New Roman" w:eastAsia="方正仿宋_GBK" w:cs="Times New Roman"/>
          <w:sz w:val="32"/>
          <w:szCs w:val="32"/>
          <w:highlight w:val="none"/>
          <w:lang w:val="en-US" w:eastAsia="zh-CN"/>
        </w:rPr>
        <w:t>万元。其中：卫生健康</w:t>
      </w:r>
      <w:r>
        <w:rPr>
          <w:rFonts w:hint="eastAsia" w:eastAsia="方正仿宋_GBK" w:cs="Times New Roman"/>
          <w:sz w:val="32"/>
          <w:szCs w:val="32"/>
          <w:highlight w:val="none"/>
          <w:lang w:val="en-US" w:eastAsia="zh-CN"/>
        </w:rPr>
        <w:t>168</w:t>
      </w:r>
      <w:r>
        <w:rPr>
          <w:rFonts w:hint="default" w:ascii="Times New Roman" w:hAnsi="Times New Roman" w:eastAsia="方正仿宋_GBK" w:cs="Times New Roman"/>
          <w:sz w:val="32"/>
          <w:szCs w:val="32"/>
          <w:highlight w:val="none"/>
          <w:lang w:val="en-US" w:eastAsia="zh-CN"/>
        </w:rPr>
        <w:t>万元；农林水1</w:t>
      </w:r>
      <w:r>
        <w:rPr>
          <w:rFonts w:hint="eastAsia" w:eastAsia="方正仿宋_GBK" w:cs="Times New Roman"/>
          <w:sz w:val="32"/>
          <w:szCs w:val="32"/>
          <w:highlight w:val="none"/>
          <w:lang w:val="en-US" w:eastAsia="zh-CN"/>
        </w:rPr>
        <w:t>427</w:t>
      </w:r>
      <w:r>
        <w:rPr>
          <w:rFonts w:hint="default" w:ascii="Times New Roman" w:hAnsi="Times New Roman" w:eastAsia="方正仿宋_GBK" w:cs="Times New Roman"/>
          <w:sz w:val="32"/>
          <w:szCs w:val="32"/>
          <w:highlight w:val="none"/>
          <w:lang w:val="en-US" w:eastAsia="zh-CN"/>
        </w:rPr>
        <w:t>万元；交通运输</w:t>
      </w:r>
      <w:r>
        <w:rPr>
          <w:rFonts w:hint="eastAsia" w:eastAsia="方正仿宋_GBK" w:cs="Times New Roman"/>
          <w:sz w:val="32"/>
          <w:szCs w:val="32"/>
          <w:highlight w:val="none"/>
          <w:lang w:val="en-US" w:eastAsia="zh-CN"/>
        </w:rPr>
        <w:t>1040</w:t>
      </w:r>
      <w:r>
        <w:rPr>
          <w:rFonts w:hint="default" w:ascii="Times New Roman" w:hAnsi="Times New Roman" w:eastAsia="方正仿宋_GBK" w:cs="Times New Roman"/>
          <w:sz w:val="32"/>
          <w:szCs w:val="32"/>
          <w:highlight w:val="none"/>
          <w:lang w:val="en-US" w:eastAsia="zh-CN"/>
        </w:rPr>
        <w:t>万元；</w:t>
      </w:r>
      <w:r>
        <w:rPr>
          <w:rFonts w:hint="eastAsia" w:eastAsia="方正仿宋_GBK" w:cs="Times New Roman"/>
          <w:sz w:val="32"/>
          <w:szCs w:val="32"/>
          <w:highlight w:val="none"/>
          <w:lang w:val="en-US" w:eastAsia="zh-CN"/>
        </w:rPr>
        <w:t>资源勘探工业信息等1万元；</w:t>
      </w:r>
      <w:r>
        <w:rPr>
          <w:rFonts w:hint="default" w:ascii="Times New Roman" w:hAnsi="Times New Roman" w:eastAsia="方正仿宋_GBK" w:cs="Times New Roman"/>
          <w:sz w:val="32"/>
          <w:szCs w:val="32"/>
          <w:highlight w:val="none"/>
          <w:lang w:val="en-US" w:eastAsia="zh-CN"/>
        </w:rPr>
        <w:t xml:space="preserve">其他收入0万元。以上转移支付收入已按要求编入年度预算，预算执行中按规定用途使用。 </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Hans"/>
        </w:rPr>
        <w:t>二、政府性基金对下转移支付情况</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（一）2025年度泽普县无政府性基金对下转移支付；</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（二）2025年度自治区对泽普县政府性基金转移支付安排如下：</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政府性基金转移收入</w:t>
      </w:r>
      <w:r>
        <w:rPr>
          <w:rFonts w:hint="eastAsia" w:eastAsia="方正仿宋_GBK" w:cs="Times New Roman"/>
          <w:sz w:val="32"/>
          <w:szCs w:val="32"/>
          <w:highlight w:val="none"/>
          <w:lang w:val="en-US" w:eastAsia="zh-CN"/>
        </w:rPr>
        <w:t>599</w:t>
      </w:r>
      <w:r>
        <w:rPr>
          <w:rFonts w:hint="default" w:ascii="Times New Roman" w:hAnsi="Times New Roman" w:eastAsia="方正仿宋_GBK" w:cs="Times New Roman"/>
          <w:sz w:val="32"/>
          <w:szCs w:val="32"/>
          <w:highlight w:val="none"/>
          <w:lang w:val="en-US" w:eastAsia="zh-CN"/>
        </w:rPr>
        <w:t>万元。其中：政府性基金补助收入</w:t>
      </w:r>
      <w:r>
        <w:rPr>
          <w:rFonts w:hint="eastAsia" w:eastAsia="方正仿宋_GBK" w:cs="Times New Roman"/>
          <w:sz w:val="32"/>
          <w:szCs w:val="32"/>
          <w:highlight w:val="none"/>
          <w:lang w:val="en-US" w:eastAsia="zh-CN"/>
        </w:rPr>
        <w:t>599</w:t>
      </w:r>
      <w:r>
        <w:rPr>
          <w:rFonts w:hint="default" w:ascii="Times New Roman" w:hAnsi="Times New Roman" w:eastAsia="方正仿宋_GBK" w:cs="Times New Roman"/>
          <w:sz w:val="32"/>
          <w:szCs w:val="32"/>
          <w:highlight w:val="none"/>
          <w:lang w:val="en-US" w:eastAsia="zh-CN"/>
        </w:rPr>
        <w:t xml:space="preserve">万元，以上转移支付收入已按要求编入年度预算，预算执行中按规定用途使用。 </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CN"/>
        </w:rPr>
        <w:t>三、</w:t>
      </w:r>
      <w:r>
        <w:rPr>
          <w:rFonts w:hint="default" w:ascii="Times New Roman" w:hAnsi="Times New Roman" w:eastAsia="楷体_GB2312" w:cs="Times New Roman"/>
          <w:b/>
          <w:bCs w:val="0"/>
          <w:spacing w:val="-4"/>
          <w:sz w:val="32"/>
          <w:szCs w:val="32"/>
          <w:highlight w:val="none"/>
          <w:lang w:val="en-US" w:eastAsia="zh-Hans"/>
        </w:rPr>
        <w:t>国有资本经营预算对下转移支付情况</w:t>
      </w:r>
    </w:p>
    <w:p>
      <w:pPr>
        <w:keepNext w:val="0"/>
        <w:keepLines w:val="0"/>
        <w:pageBreakBefore w:val="0"/>
        <w:widowControl w:val="0"/>
        <w:shd w:val="solid" w:color="FFFFFF" w:fill="auto"/>
        <w:kinsoku/>
        <w:wordWrap/>
        <w:overflowPunct/>
        <w:topLinePunct w:val="0"/>
        <w:autoSpaceDE/>
        <w:autoSpaceDN w:val="0"/>
        <w:bidi w:val="0"/>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（一）2025年度泽普县无国有资本经营预算对下转移支付；</w:t>
      </w:r>
    </w:p>
    <w:p>
      <w:pPr>
        <w:keepNext w:val="0"/>
        <w:keepLines w:val="0"/>
        <w:pageBreakBefore w:val="0"/>
        <w:widowControl w:val="0"/>
        <w:shd w:val="solid" w:color="FFFFFF" w:fill="auto"/>
        <w:kinsoku/>
        <w:wordWrap/>
        <w:overflowPunct/>
        <w:topLinePunct w:val="0"/>
        <w:autoSpaceDE/>
        <w:autoSpaceDN w:val="0"/>
        <w:bidi w:val="0"/>
        <w:adjustRightInd/>
        <w:spacing w:line="62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（二）2025年度自治区对泽普县国有资本经营预算转移</w:t>
      </w:r>
      <w:r>
        <w:rPr>
          <w:rFonts w:hint="default" w:ascii="Times New Roman" w:hAnsi="Times New Roman" w:eastAsia="方正仿宋_GBK" w:cs="Times New Roman"/>
          <w:kern w:val="2"/>
          <w:sz w:val="32"/>
          <w:szCs w:val="32"/>
          <w:highlight w:val="none"/>
          <w:lang w:val="en-US" w:eastAsia="zh-CN" w:bidi="ar-SA"/>
        </w:rPr>
        <w:t>支付安排如下：</w:t>
      </w:r>
    </w:p>
    <w:p>
      <w:pPr>
        <w:pStyle w:val="7"/>
        <w:keepNext w:val="0"/>
        <w:keepLines w:val="0"/>
        <w:pageBreakBefore w:val="0"/>
        <w:widowControl w:val="0"/>
        <w:kinsoku/>
        <w:wordWrap/>
        <w:overflowPunct/>
        <w:topLinePunct w:val="0"/>
        <w:autoSpaceDE/>
        <w:bidi w:val="0"/>
        <w:adjustRightInd/>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国有资本经营预算转移支付收入5万元。其中：国有资本经营预算补助收入5万元，以上转移支付收入已按要求编入年度预算，预算执行中按规定用途使用。</w:t>
      </w:r>
    </w:p>
    <w:p>
      <w:pPr>
        <w:pStyle w:val="7"/>
        <w:keepNext w:val="0"/>
        <w:keepLines w:val="0"/>
        <w:pageBreakBefore w:val="0"/>
        <w:widowControl w:val="0"/>
        <w:kinsoku/>
        <w:wordWrap/>
        <w:overflowPunct/>
        <w:topLinePunct w:val="0"/>
        <w:autoSpaceDE/>
        <w:bidi w:val="0"/>
        <w:adjustRightInd/>
        <w:textAlignment w:val="auto"/>
        <w:rPr>
          <w:rFonts w:hint="default" w:ascii="Times New Roman" w:hAnsi="Times New Roman" w:eastAsia="方正仿宋_GBK" w:cs="Times New Roman"/>
          <w:sz w:val="32"/>
          <w:szCs w:val="32"/>
          <w:highlight w:val="none"/>
          <w:lang w:val="en-US" w:eastAsia="zh-Hans"/>
        </w:rPr>
      </w:pPr>
    </w:p>
    <w:p>
      <w:pPr>
        <w:widowControl/>
        <w:jc w:val="center"/>
        <w:outlineLvl w:val="1"/>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第五部分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Hans"/>
        </w:rPr>
        <w:t>地方政府债务</w:t>
      </w:r>
      <w:r>
        <w:rPr>
          <w:rFonts w:hint="default" w:ascii="Times New Roman" w:hAnsi="Times New Roman" w:eastAsia="黑体" w:cs="Times New Roman"/>
          <w:kern w:val="0"/>
          <w:sz w:val="32"/>
          <w:szCs w:val="32"/>
          <w:highlight w:val="none"/>
          <w:lang w:val="en-US" w:eastAsia="zh-CN"/>
        </w:rPr>
        <w:t>公开情况</w:t>
      </w:r>
    </w:p>
    <w:p>
      <w:pPr>
        <w:pStyle w:val="7"/>
        <w:rPr>
          <w:rFonts w:hint="default" w:ascii="Times New Roman" w:hAnsi="Times New Roman" w:cs="Times New Roman"/>
          <w:b w:val="0"/>
          <w:bCs w:val="0"/>
          <w:sz w:val="22"/>
          <w:szCs w:val="22"/>
          <w:highlight w:val="none"/>
          <w:lang w:eastAsia="zh-Hans"/>
        </w:rPr>
      </w:pPr>
    </w:p>
    <w:p>
      <w:pPr>
        <w:pStyle w:val="7"/>
        <w:rPr>
          <w:rFonts w:hint="default" w:ascii="Times New Roman" w:hAnsi="Times New Roman" w:cs="Times New Roman"/>
          <w:b w:val="0"/>
          <w:bCs w:val="0"/>
          <w:sz w:val="22"/>
          <w:szCs w:val="22"/>
          <w:highlight w:val="none"/>
          <w:lang w:eastAsia="zh-Hans"/>
        </w:rPr>
      </w:pPr>
    </w:p>
    <w:p>
      <w:pPr>
        <w:pStyle w:val="7"/>
        <w:rPr>
          <w:rFonts w:hint="default" w:ascii="Times New Roman" w:hAnsi="Times New Roman" w:cs="Times New Roman"/>
          <w:b w:val="0"/>
          <w:bCs w:val="0"/>
          <w:sz w:val="22"/>
          <w:szCs w:val="22"/>
          <w:highlight w:val="none"/>
          <w:lang w:eastAsia="zh-Hans"/>
        </w:rPr>
      </w:pPr>
    </w:p>
    <w:tbl>
      <w:tblPr>
        <w:tblStyle w:val="8"/>
        <w:tblW w:w="93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825"/>
        <w:gridCol w:w="933"/>
        <w:gridCol w:w="754"/>
        <w:gridCol w:w="818"/>
        <w:gridCol w:w="869"/>
        <w:gridCol w:w="754"/>
        <w:gridCol w:w="543"/>
        <w:gridCol w:w="800"/>
        <w:gridCol w:w="854"/>
        <w:gridCol w:w="11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9300" w:type="dxa"/>
            <w:gridSpan w:val="10"/>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eastAsia" w:cs="Times New Roman"/>
                <w:i w:val="0"/>
                <w:color w:val="000000"/>
                <w:kern w:val="0"/>
                <w:sz w:val="20"/>
                <w:szCs w:val="20"/>
                <w:highlight w:val="none"/>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9300" w:type="dxa"/>
            <w:gridSpan w:val="10"/>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eastAsia="zh-CN" w:bidi="ar"/>
              </w:rPr>
              <w:t>上年度</w:t>
            </w:r>
            <w:r>
              <w:rPr>
                <w:rFonts w:hint="eastAsia" w:cs="Times New Roman"/>
                <w:b/>
                <w:bCs/>
                <w:i w:val="0"/>
                <w:color w:val="000000"/>
                <w:kern w:val="0"/>
                <w:sz w:val="20"/>
                <w:szCs w:val="20"/>
                <w:highlight w:val="none"/>
                <w:u w:val="none"/>
                <w:lang w:val="en-US" w:eastAsia="zh-CN" w:bidi="ar"/>
              </w:rPr>
              <w:t>泽普县</w:t>
            </w:r>
            <w:r>
              <w:rPr>
                <w:rFonts w:hint="default" w:ascii="Times New Roman" w:hAnsi="Times New Roman" w:eastAsia="宋体" w:cs="Times New Roman"/>
                <w:b/>
                <w:bCs/>
                <w:i w:val="0"/>
                <w:color w:val="000000"/>
                <w:kern w:val="0"/>
                <w:sz w:val="20"/>
                <w:szCs w:val="20"/>
                <w:highlight w:val="none"/>
                <w:u w:val="none"/>
                <w:lang w:val="en-US" w:eastAsia="zh-CN" w:bidi="ar"/>
              </w:rPr>
              <w:t>政府债务限额、余额（含一般债务限额、余额和专项债务限额、余额）情况表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1825" w:type="dxa"/>
            <w:noWrap w:val="0"/>
            <w:vAlign w:val="center"/>
          </w:tcPr>
          <w:p>
            <w:pPr>
              <w:rPr>
                <w:rFonts w:hint="default" w:ascii="Times New Roman" w:hAnsi="Times New Roman" w:eastAsia="宋体" w:cs="Times New Roman"/>
                <w:i w:val="0"/>
                <w:color w:val="000000"/>
                <w:sz w:val="20"/>
                <w:szCs w:val="20"/>
                <w:highlight w:val="none"/>
                <w:u w:val="none"/>
              </w:rPr>
            </w:pPr>
          </w:p>
        </w:tc>
        <w:tc>
          <w:tcPr>
            <w:tcW w:w="933" w:type="dxa"/>
            <w:noWrap w:val="0"/>
            <w:vAlign w:val="center"/>
          </w:tcPr>
          <w:p>
            <w:pPr>
              <w:rPr>
                <w:rFonts w:hint="default" w:ascii="Times New Roman" w:hAnsi="Times New Roman" w:eastAsia="宋体" w:cs="Times New Roman"/>
                <w:i w:val="0"/>
                <w:color w:val="000000"/>
                <w:sz w:val="20"/>
                <w:szCs w:val="20"/>
                <w:highlight w:val="none"/>
                <w:u w:val="none"/>
              </w:rPr>
            </w:pPr>
          </w:p>
        </w:tc>
        <w:tc>
          <w:tcPr>
            <w:tcW w:w="754"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18"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69" w:type="dxa"/>
            <w:noWrap w:val="0"/>
            <w:vAlign w:val="center"/>
          </w:tcPr>
          <w:p>
            <w:pPr>
              <w:rPr>
                <w:rFonts w:hint="default" w:ascii="Times New Roman" w:hAnsi="Times New Roman" w:eastAsia="宋体" w:cs="Times New Roman"/>
                <w:i w:val="0"/>
                <w:color w:val="000000"/>
                <w:sz w:val="20"/>
                <w:szCs w:val="20"/>
                <w:highlight w:val="none"/>
                <w:u w:val="none"/>
              </w:rPr>
            </w:pPr>
          </w:p>
        </w:tc>
        <w:tc>
          <w:tcPr>
            <w:tcW w:w="754" w:type="dxa"/>
            <w:noWrap w:val="0"/>
            <w:vAlign w:val="center"/>
          </w:tcPr>
          <w:p>
            <w:pPr>
              <w:rPr>
                <w:rFonts w:hint="default" w:ascii="Times New Roman" w:hAnsi="Times New Roman" w:eastAsia="宋体" w:cs="Times New Roman"/>
                <w:i w:val="0"/>
                <w:color w:val="000000"/>
                <w:sz w:val="20"/>
                <w:szCs w:val="20"/>
                <w:highlight w:val="none"/>
                <w:u w:val="none"/>
              </w:rPr>
            </w:pPr>
          </w:p>
        </w:tc>
        <w:tc>
          <w:tcPr>
            <w:tcW w:w="543"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0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54"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150"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18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行政区划名称</w:t>
            </w:r>
          </w:p>
        </w:tc>
        <w:tc>
          <w:tcPr>
            <w:tcW w:w="250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政府债务限额总额</w:t>
            </w:r>
          </w:p>
        </w:tc>
        <w:tc>
          <w:tcPr>
            <w:tcW w:w="216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其中：新增债务限额</w:t>
            </w:r>
          </w:p>
        </w:tc>
        <w:tc>
          <w:tcPr>
            <w:tcW w:w="280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政府债务余额预计执行数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18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2" w:hRule="atLeast"/>
          <w:jc w:val="center"/>
        </w:trPr>
        <w:tc>
          <w:tcPr>
            <w:tcW w:w="1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kern w:val="0"/>
                <w:sz w:val="20"/>
                <w:szCs w:val="20"/>
                <w:highlight w:val="none"/>
                <w:u w:val="none"/>
                <w:lang w:val="en-US" w:eastAsia="zh-CN" w:bidi="ar"/>
              </w:rPr>
              <w:t>泽普县</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34.58</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ind w:firstLine="284" w:firstLineChars="0"/>
              <w:jc w:val="center"/>
              <w:rPr>
                <w:rFonts w:hint="default" w:ascii="Times New Roman" w:hAnsi="Times New Roman" w:eastAsia="宋体" w:cs="Times New Roman"/>
                <w:i w:val="0"/>
                <w:color w:val="000000"/>
                <w:sz w:val="20"/>
                <w:szCs w:val="20"/>
                <w:highlight w:val="none"/>
                <w:u w:val="none"/>
                <w:lang w:val="en-US"/>
              </w:rPr>
            </w:pPr>
            <w:r>
              <w:rPr>
                <w:rFonts w:hint="eastAsia" w:cs="Times New Roman"/>
                <w:i w:val="0"/>
                <w:color w:val="000000"/>
                <w:sz w:val="20"/>
                <w:szCs w:val="20"/>
                <w:highlight w:val="none"/>
                <w:u w:val="none"/>
                <w:lang w:val="en-US" w:eastAsia="zh-CN"/>
              </w:rPr>
              <w:t>8.56</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26.02</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rPr>
            </w:pPr>
            <w:r>
              <w:rPr>
                <w:rFonts w:hint="eastAsia" w:cs="Times New Roman"/>
                <w:i w:val="0"/>
                <w:color w:val="000000"/>
                <w:sz w:val="20"/>
                <w:szCs w:val="20"/>
                <w:highlight w:val="none"/>
                <w:u w:val="none"/>
                <w:lang w:val="en-US" w:eastAsia="zh-CN"/>
              </w:rPr>
              <w:t>2.07</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rPr>
            </w:pPr>
            <w:r>
              <w:rPr>
                <w:rFonts w:hint="eastAsia" w:cs="Times New Roman"/>
                <w:i w:val="0"/>
                <w:color w:val="000000"/>
                <w:sz w:val="20"/>
                <w:szCs w:val="20"/>
                <w:highlight w:val="none"/>
                <w:u w:val="none"/>
                <w:lang w:val="en-US" w:eastAsia="zh-CN"/>
              </w:rPr>
              <w:t>0.7</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1.37</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31.64</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rPr>
            </w:pPr>
            <w:r>
              <w:rPr>
                <w:rFonts w:hint="eastAsia" w:cs="Times New Roman"/>
                <w:i w:val="0"/>
                <w:color w:val="000000"/>
                <w:sz w:val="20"/>
                <w:szCs w:val="20"/>
                <w:highlight w:val="none"/>
                <w:u w:val="none"/>
                <w:lang w:val="en-US" w:eastAsia="zh-CN"/>
              </w:rPr>
              <w:t>8.4</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23.24</w:t>
            </w:r>
          </w:p>
        </w:tc>
      </w:tr>
    </w:tbl>
    <w:p>
      <w:pPr>
        <w:wordWrap/>
        <w:jc w:val="both"/>
        <w:rPr>
          <w:rFonts w:hint="default" w:ascii="Times New Roman" w:hAnsi="Times New Roman" w:cs="Times New Roman"/>
          <w:b w:val="0"/>
          <w:bCs w:val="0"/>
          <w:sz w:val="22"/>
          <w:szCs w:val="22"/>
          <w:highlight w:val="none"/>
          <w:lang w:val="en-US" w:eastAsia="zh-Hans"/>
        </w:rPr>
      </w:pPr>
    </w:p>
    <w:p>
      <w:pPr>
        <w:wordWrap/>
        <w:jc w:val="both"/>
        <w:rPr>
          <w:rFonts w:hint="default" w:ascii="Times New Roman" w:hAnsi="Times New Roman" w:cs="Times New Roman"/>
          <w:b w:val="0"/>
          <w:bCs w:val="0"/>
          <w:sz w:val="22"/>
          <w:szCs w:val="22"/>
          <w:highlight w:val="none"/>
          <w:lang w:val="en-US" w:eastAsia="zh-Hans"/>
        </w:rPr>
      </w:pPr>
    </w:p>
    <w:tbl>
      <w:tblPr>
        <w:tblStyle w:val="8"/>
        <w:tblW w:w="8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27"/>
        <w:gridCol w:w="850"/>
        <w:gridCol w:w="1350"/>
        <w:gridCol w:w="800"/>
        <w:gridCol w:w="900"/>
        <w:gridCol w:w="709"/>
        <w:gridCol w:w="600"/>
        <w:gridCol w:w="909"/>
        <w:gridCol w:w="600"/>
        <w:gridCol w:w="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8545" w:type="dxa"/>
            <w:gridSpan w:val="10"/>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eastAsia" w:cs="Times New Roman"/>
                <w:i w:val="0"/>
                <w:color w:val="000000"/>
                <w:kern w:val="0"/>
                <w:sz w:val="20"/>
                <w:szCs w:val="20"/>
                <w:highlight w:val="none"/>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8545" w:type="dxa"/>
            <w:gridSpan w:val="10"/>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bCs/>
                <w:i w:val="0"/>
                <w:color w:val="000000"/>
                <w:kern w:val="0"/>
                <w:sz w:val="20"/>
                <w:szCs w:val="20"/>
                <w:highlight w:val="none"/>
                <w:u w:val="none"/>
                <w:lang w:eastAsia="zh-CN" w:bidi="ar"/>
              </w:rPr>
              <w:t>上年度</w:t>
            </w:r>
            <w:r>
              <w:rPr>
                <w:rFonts w:hint="eastAsia"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政府债券发行情况表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427" w:type="dxa"/>
            <w:gridSpan w:val="3"/>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80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90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709" w:type="dxa"/>
            <w:noWrap w:val="0"/>
            <w:vAlign w:val="center"/>
          </w:tcPr>
          <w:p>
            <w:pPr>
              <w:rPr>
                <w:rFonts w:hint="default" w:ascii="Times New Roman" w:hAnsi="Times New Roman" w:eastAsia="宋体" w:cs="Times New Roman"/>
                <w:i w:val="0"/>
                <w:color w:val="000000"/>
                <w:sz w:val="20"/>
                <w:szCs w:val="20"/>
                <w:highlight w:val="none"/>
                <w:u w:val="none"/>
              </w:rPr>
            </w:pPr>
          </w:p>
        </w:tc>
        <w:tc>
          <w:tcPr>
            <w:tcW w:w="60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109" w:type="dxa"/>
            <w:gridSpan w:val="3"/>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jc w:val="center"/>
        </w:trPr>
        <w:tc>
          <w:tcPr>
            <w:tcW w:w="122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行政区划名称</w:t>
            </w:r>
          </w:p>
        </w:tc>
        <w:tc>
          <w:tcPr>
            <w:tcW w:w="300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政府债券发行总额</w:t>
            </w:r>
          </w:p>
        </w:tc>
        <w:tc>
          <w:tcPr>
            <w:tcW w:w="220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其中：新增债券额度</w:t>
            </w:r>
          </w:p>
        </w:tc>
        <w:tc>
          <w:tcPr>
            <w:tcW w:w="210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其中：再融资债券额度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jc w:val="center"/>
        </w:trPr>
        <w:tc>
          <w:tcPr>
            <w:tcW w:w="122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新增债券</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再融资债券</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小计</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一般债券</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小计</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一般债券</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2" w:hRule="atLeast"/>
          <w:jc w:val="center"/>
        </w:trPr>
        <w:tc>
          <w:tcPr>
            <w:tcW w:w="1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kern w:val="0"/>
                <w:sz w:val="20"/>
                <w:szCs w:val="20"/>
                <w:highlight w:val="none"/>
                <w:u w:val="none"/>
                <w:lang w:val="en-US" w:eastAsia="zh-CN" w:bidi="ar"/>
              </w:rPr>
              <w:t>泽普县</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2.07</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1.97</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0.1</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1.97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0.6</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1.37</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0.10</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0.10</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r>
    </w:tbl>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Hans" w:bidi="ar"/>
        </w:rPr>
      </w:pPr>
    </w:p>
    <w:tbl>
      <w:tblPr>
        <w:tblStyle w:val="8"/>
        <w:tblpPr w:leftFromText="180" w:rightFromText="180" w:vertAnchor="text" w:horzAnchor="page" w:tblpXSpec="center" w:tblpY="-6273"/>
        <w:tblOverlap w:val="never"/>
        <w:tblW w:w="111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446"/>
        <w:gridCol w:w="1350"/>
        <w:gridCol w:w="795"/>
        <w:gridCol w:w="810"/>
        <w:gridCol w:w="750"/>
        <w:gridCol w:w="795"/>
        <w:gridCol w:w="840"/>
        <w:gridCol w:w="825"/>
        <w:gridCol w:w="720"/>
        <w:gridCol w:w="705"/>
        <w:gridCol w:w="840"/>
        <w:gridCol w:w="840"/>
        <w:gridCol w:w="840"/>
        <w:gridCol w:w="6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11173" w:type="dxa"/>
            <w:gridSpan w:val="14"/>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eastAsia" w:cs="Times New Roman"/>
                <w:i w:val="0"/>
                <w:color w:val="000000"/>
                <w:kern w:val="0"/>
                <w:sz w:val="20"/>
                <w:szCs w:val="20"/>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11173" w:type="dxa"/>
            <w:gridSpan w:val="14"/>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bCs/>
                <w:i w:val="0"/>
                <w:color w:val="000000"/>
                <w:kern w:val="0"/>
                <w:sz w:val="20"/>
                <w:szCs w:val="20"/>
                <w:highlight w:val="none"/>
                <w:u w:val="none"/>
                <w:lang w:eastAsia="zh-CN" w:bidi="ar"/>
              </w:rPr>
              <w:t>上年度</w:t>
            </w:r>
            <w:r>
              <w:rPr>
                <w:rFonts w:hint="eastAsia"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政府债券发行情况明细表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46"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45" w:type="dxa"/>
            <w:gridSpan w:val="2"/>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4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457"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179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235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地方政府债券</w:t>
            </w:r>
          </w:p>
        </w:tc>
        <w:tc>
          <w:tcPr>
            <w:tcW w:w="24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新增债券</w:t>
            </w:r>
          </w:p>
        </w:tc>
        <w:tc>
          <w:tcPr>
            <w:tcW w:w="22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置换债券</w:t>
            </w:r>
          </w:p>
        </w:tc>
        <w:tc>
          <w:tcPr>
            <w:tcW w:w="229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再融资债券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179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小计</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2.07</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0.7</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1.37</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1.97</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0.6</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1.37</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0.1</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0.1</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2.04</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1.96</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2.07</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2.04</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1.97</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2.07</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1.91</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1.91</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7年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pStyle w:val="7"/>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lang w:val="en-US" w:eastAsia="zh-CN"/>
              </w:rPr>
              <w:t>0.2</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0.2</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0.1</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0.1</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0.1</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0.1</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1.83</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1.83</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1.74</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1.74</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1.91</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1.91</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0.71</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0.21</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0.71</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0.21</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2.1</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2.02</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2.29</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2.1</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2.02</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2.29</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2.03</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2.03</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2.03</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2.03</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0.65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0.65</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0.65</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0.65</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jc w:val="center"/>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2.03</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2.03</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2.03</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2.03</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bl>
    <w:p>
      <w:pPr>
        <w:spacing w:before="0" w:line="240" w:lineRule="exact"/>
        <w:ind w:left="0" w:right="499" w:firstLine="0"/>
        <w:jc w:val="both"/>
        <w:rPr>
          <w:rFonts w:hint="default" w:ascii="Times New Roman" w:hAnsi="Times New Roman" w:cs="Times New Roman"/>
          <w:highlight w:val="none"/>
          <w:lang w:val="en-US" w:eastAsia="zh-Hans"/>
        </w:rPr>
      </w:pPr>
    </w:p>
    <w:tbl>
      <w:tblPr>
        <w:tblStyle w:val="8"/>
        <w:tblpPr w:leftFromText="180" w:rightFromText="180" w:vertAnchor="text" w:horzAnchor="page" w:tblpXSpec="center" w:tblpY="240"/>
        <w:tblOverlap w:val="never"/>
        <w:tblW w:w="110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452"/>
        <w:gridCol w:w="737"/>
        <w:gridCol w:w="1455"/>
        <w:gridCol w:w="3002"/>
        <w:gridCol w:w="2480"/>
        <w:gridCol w:w="930"/>
        <w:gridCol w:w="960"/>
        <w:gridCol w:w="9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0" w:hRule="atLeast"/>
          <w:jc w:val="center"/>
        </w:trPr>
        <w:tc>
          <w:tcPr>
            <w:tcW w:w="11010" w:type="dxa"/>
            <w:gridSpan w:val="8"/>
            <w:noWrap w:val="0"/>
            <w:vAlign w:val="center"/>
          </w:tcPr>
          <w:p>
            <w:pPr>
              <w:keepNext w:val="0"/>
              <w:keepLines w:val="0"/>
              <w:widowControl/>
              <w:suppressLineNumbers w:val="0"/>
              <w:spacing w:line="240" w:lineRule="exact"/>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3</w:t>
            </w:r>
            <w:r>
              <w:rPr>
                <w:rFonts w:hint="eastAsia" w:cs="Times New Roman"/>
                <w:i w:val="0"/>
                <w:color w:val="000000"/>
                <w:kern w:val="0"/>
                <w:sz w:val="20"/>
                <w:szCs w:val="20"/>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jc w:val="center"/>
        </w:trPr>
        <w:tc>
          <w:tcPr>
            <w:tcW w:w="11010" w:type="dxa"/>
            <w:gridSpan w:val="8"/>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bCs/>
                <w:i w:val="0"/>
                <w:color w:val="000000"/>
                <w:kern w:val="0"/>
                <w:sz w:val="20"/>
                <w:szCs w:val="20"/>
                <w:highlight w:val="none"/>
                <w:u w:val="none"/>
                <w:lang w:eastAsia="zh-CN" w:bidi="ar"/>
              </w:rPr>
              <w:t>上年度</w:t>
            </w:r>
            <w:r>
              <w:rPr>
                <w:rFonts w:hint="eastAsia" w:ascii="Times New Roman" w:hAnsi="Times New Roman" w:eastAsia="宋体"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新增债券使用情况表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jc w:val="center"/>
        </w:trPr>
        <w:tc>
          <w:tcPr>
            <w:tcW w:w="452" w:type="dxa"/>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737" w:type="dxa"/>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1455" w:type="dxa"/>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5482" w:type="dxa"/>
            <w:gridSpan w:val="2"/>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p>
        </w:tc>
        <w:tc>
          <w:tcPr>
            <w:tcW w:w="2884" w:type="dxa"/>
            <w:gridSpan w:val="3"/>
            <w:noWrap w:val="0"/>
            <w:vAlign w:val="center"/>
          </w:tcPr>
          <w:p>
            <w:pPr>
              <w:keepNext w:val="0"/>
              <w:keepLines w:val="0"/>
              <w:widowControl/>
              <w:suppressLineNumbers w:val="0"/>
              <w:spacing w:line="240" w:lineRule="exact"/>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序号</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区划</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项目单位</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项目名称</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项目领域</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债券性质</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债券金额</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实际支出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tabs>
                <w:tab w:val="center" w:pos="712"/>
              </w:tabs>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住建局</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泽普县城市设施综合提升建设项目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市政建设</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一般债券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0.4</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交通局</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S517泽普立交至金湖杨公路工程</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农村公路</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一般债券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0.2</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工信局</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泽普县政府投资项目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专项债券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cs="Times New Roman"/>
                <w:i w:val="0"/>
                <w:color w:val="auto"/>
                <w:sz w:val="20"/>
                <w:szCs w:val="20"/>
                <w:highlight w:val="none"/>
                <w:u w:val="none"/>
                <w:lang w:val="en-US" w:eastAsia="zh-CN"/>
              </w:rPr>
              <w:t>1.1584</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1.1584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住建局</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喀什地区泽普县供气基础设施提升改造建设项目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天然气管网储气设施</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专项债券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cs="Times New Roman"/>
                <w:i w:val="0"/>
                <w:color w:val="auto"/>
                <w:sz w:val="20"/>
                <w:szCs w:val="20"/>
                <w:highlight w:val="none"/>
                <w:u w:val="none"/>
                <w:lang w:val="en-US" w:eastAsia="zh-CN"/>
              </w:rPr>
              <w:t>0.21</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653124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财政局</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泽普县政府投资项目</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cs="Times New Roman"/>
                <w:i w:val="0"/>
                <w:color w:val="000000"/>
                <w:sz w:val="20"/>
                <w:szCs w:val="20"/>
                <w:highlight w:val="none"/>
                <w:u w:val="none"/>
                <w:lang w:val="en-US" w:eastAsia="zh-CN"/>
              </w:rPr>
              <w:t>再融资</w:t>
            </w:r>
            <w:r>
              <w:rPr>
                <w:rFonts w:hint="eastAsia" w:cs="Times New Roman"/>
                <w:i w:val="0"/>
                <w:color w:val="000000"/>
                <w:sz w:val="20"/>
                <w:szCs w:val="20"/>
                <w:highlight w:val="none"/>
                <w:u w:val="none"/>
                <w:lang w:eastAsia="zh-CN"/>
              </w:rPr>
              <w:t>一般债券</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auto"/>
                <w:kern w:val="2"/>
                <w:sz w:val="20"/>
                <w:szCs w:val="20"/>
                <w:highlight w:val="none"/>
                <w:u w:val="none"/>
                <w:lang w:val="en-US" w:eastAsia="zh-CN" w:bidi="ar-SA"/>
              </w:rPr>
            </w:pPr>
            <w:r>
              <w:rPr>
                <w:rFonts w:hint="eastAsia" w:cs="Times New Roman"/>
                <w:i w:val="0"/>
                <w:color w:val="auto"/>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jc w:val="center"/>
        </w:trPr>
        <w:tc>
          <w:tcPr>
            <w:tcW w:w="11010" w:type="dxa"/>
            <w:gridSpan w:val="8"/>
            <w:noWrap w:val="0"/>
            <w:vAlign w:val="center"/>
          </w:tcPr>
          <w:p>
            <w:pPr>
              <w:pStyle w:val="2"/>
              <w:ind w:left="0" w:leftChars="0" w:firstLine="0" w:firstLineChars="0"/>
              <w:rPr>
                <w:rFonts w:hint="default"/>
              </w:rPr>
            </w:pPr>
            <w:r>
              <w:rPr>
                <w:rFonts w:hint="default" w:ascii="Times New Roman" w:hAnsi="Times New Roman" w:eastAsia="宋体" w:cs="Times New Roman"/>
                <w:i w:val="0"/>
                <w:color w:val="000000"/>
                <w:kern w:val="0"/>
                <w:sz w:val="20"/>
                <w:szCs w:val="20"/>
                <w:highlight w:val="none"/>
                <w:u w:val="none"/>
                <w:lang w:val="en-US" w:eastAsia="zh-CN" w:bidi="ar"/>
              </w:rPr>
              <w:t>备注：新增债券额度由喀什地区统筹分配至地区本级，所属县市；泽普县的新增债券项目具体安排，由当地按程序报本级人大批准，未在此表中列示。</w:t>
            </w:r>
          </w:p>
        </w:tc>
      </w:tr>
    </w:tbl>
    <w:p>
      <w:pPr>
        <w:spacing w:before="0" w:line="240" w:lineRule="exact"/>
        <w:ind w:left="0" w:right="499" w:firstLine="0"/>
        <w:jc w:val="both"/>
        <w:rPr>
          <w:rFonts w:hint="default" w:ascii="Times New Roman" w:hAnsi="Times New Roman" w:cs="Times New Roman"/>
          <w:highlight w:val="none"/>
          <w:lang w:val="en-US" w:eastAsia="zh-Hans"/>
        </w:rPr>
      </w:pPr>
    </w:p>
    <w:p>
      <w:pPr>
        <w:pStyle w:val="7"/>
        <w:rPr>
          <w:rFonts w:hint="default"/>
          <w:lang w:val="en-US" w:eastAsia="zh-Hans"/>
        </w:rPr>
      </w:pPr>
    </w:p>
    <w:p>
      <w:pPr>
        <w:pStyle w:val="7"/>
        <w:rPr>
          <w:rFonts w:hint="default"/>
          <w:lang w:val="en-US" w:eastAsia="zh-Hans"/>
        </w:rPr>
      </w:pPr>
    </w:p>
    <w:p>
      <w:pPr>
        <w:pStyle w:val="7"/>
        <w:rPr>
          <w:rFonts w:hint="default"/>
          <w:lang w:val="en-US" w:eastAsia="zh-Hans"/>
        </w:rPr>
      </w:pPr>
    </w:p>
    <w:p>
      <w:pPr>
        <w:keepNext w:val="0"/>
        <w:keepLines w:val="0"/>
        <w:widowControl/>
        <w:suppressLineNumbers w:val="0"/>
        <w:spacing w:line="240" w:lineRule="exact"/>
        <w:jc w:val="left"/>
        <w:textAlignment w:val="center"/>
        <w:rPr>
          <w:rFonts w:hint="default"/>
          <w:lang w:val="en-US" w:eastAsia="zh-Hans"/>
        </w:rPr>
      </w:pPr>
    </w:p>
    <w:p>
      <w:pPr>
        <w:pStyle w:val="7"/>
        <w:rPr>
          <w:rFonts w:hint="default"/>
          <w:lang w:val="en-US" w:eastAsia="zh-Hans"/>
        </w:rPr>
      </w:pPr>
    </w:p>
    <w:tbl>
      <w:tblPr>
        <w:tblStyle w:val="8"/>
        <w:tblW w:w="87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456"/>
        <w:gridCol w:w="1327"/>
        <w:gridCol w:w="107"/>
        <w:gridCol w:w="766"/>
        <w:gridCol w:w="40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8750" w:type="dxa"/>
            <w:gridSpan w:val="5"/>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3</w:t>
            </w:r>
            <w:r>
              <w:rPr>
                <w:rFonts w:hint="eastAsia" w:cs="Times New Roman"/>
                <w:i w:val="0"/>
                <w:color w:val="000000"/>
                <w:kern w:val="0"/>
                <w:sz w:val="20"/>
                <w:szCs w:val="20"/>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8750"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bCs/>
                <w:i w:val="0"/>
                <w:color w:val="000000"/>
                <w:kern w:val="0"/>
                <w:sz w:val="20"/>
                <w:szCs w:val="20"/>
                <w:highlight w:val="none"/>
                <w:u w:val="none"/>
                <w:lang w:eastAsia="zh-CN" w:bidi="ar"/>
              </w:rPr>
              <w:t>上年度</w:t>
            </w:r>
            <w:r>
              <w:rPr>
                <w:rFonts w:hint="eastAsia"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还本付息执行及本年度还本付息预算情况表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2456" w:type="dxa"/>
            <w:tcBorders>
              <w:bottom w:val="single" w:color="auto"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27" w:type="dxa"/>
            <w:tcBorders>
              <w:bottom w:val="single" w:color="auto"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873" w:type="dxa"/>
            <w:gridSpan w:val="2"/>
            <w:tcBorders>
              <w:bottom w:val="single" w:color="auto"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4094" w:type="dxa"/>
            <w:tcBorders>
              <w:bottom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48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泽普县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一、上年度发行执行数</w:t>
            </w:r>
          </w:p>
        </w:tc>
        <w:tc>
          <w:tcPr>
            <w:tcW w:w="4860" w:type="dxa"/>
            <w:gridSpan w:val="2"/>
            <w:tcBorders>
              <w:top w:val="single" w:color="auto"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其中：再融资债券</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其中：再融资债券</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二、上年度还本执行数</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三、上年度付息执行数</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四、本年度还本预算数</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财政预算安排</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财政预算安排</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五、本年度付息预算数</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389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4860" w:type="dxa"/>
            <w:gridSpan w:val="2"/>
            <w:tcBorders>
              <w:top w:val="single" w:color="000000" w:sz="4" w:space="0"/>
              <w:left w:val="single" w:color="auto"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0.7</w:t>
            </w:r>
          </w:p>
        </w:tc>
      </w:tr>
    </w:tbl>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Hans" w:bidi="ar"/>
        </w:rPr>
      </w:pPr>
    </w:p>
    <w:p>
      <w:pPr>
        <w:pStyle w:val="7"/>
        <w:rPr>
          <w:rFonts w:hint="default" w:ascii="Times New Roman" w:hAnsi="Times New Roman" w:eastAsia="宋体" w:cs="Times New Roman"/>
          <w:i w:val="0"/>
          <w:color w:val="000000"/>
          <w:kern w:val="0"/>
          <w:sz w:val="20"/>
          <w:szCs w:val="20"/>
          <w:highlight w:val="none"/>
          <w:u w:val="none"/>
          <w:lang w:val="en-US" w:eastAsia="zh-Hans" w:bidi="ar"/>
        </w:rPr>
      </w:pPr>
    </w:p>
    <w:p>
      <w:pPr>
        <w:pStyle w:val="7"/>
        <w:rPr>
          <w:rFonts w:hint="default" w:ascii="Times New Roman" w:hAnsi="Times New Roman" w:eastAsia="宋体" w:cs="Times New Roman"/>
          <w:i w:val="0"/>
          <w:color w:val="000000"/>
          <w:kern w:val="0"/>
          <w:sz w:val="20"/>
          <w:szCs w:val="20"/>
          <w:highlight w:val="none"/>
          <w:u w:val="none"/>
          <w:lang w:val="en-US" w:eastAsia="zh-Hans" w:bidi="ar"/>
        </w:rPr>
      </w:pPr>
    </w:p>
    <w:p>
      <w:pPr>
        <w:pStyle w:val="7"/>
        <w:rPr>
          <w:rFonts w:hint="default" w:ascii="Times New Roman" w:hAnsi="Times New Roman" w:eastAsia="宋体" w:cs="Times New Roman"/>
          <w:i w:val="0"/>
          <w:color w:val="000000"/>
          <w:kern w:val="0"/>
          <w:sz w:val="20"/>
          <w:szCs w:val="20"/>
          <w:highlight w:val="none"/>
          <w:u w:val="none"/>
          <w:lang w:val="en-US" w:eastAsia="zh-Hans" w:bidi="ar"/>
        </w:rPr>
      </w:pPr>
    </w:p>
    <w:p>
      <w:pPr>
        <w:pStyle w:val="7"/>
        <w:rPr>
          <w:rFonts w:hint="default" w:ascii="Times New Roman" w:hAnsi="Times New Roman" w:eastAsia="宋体" w:cs="Times New Roman"/>
          <w:i w:val="0"/>
          <w:color w:val="000000"/>
          <w:kern w:val="0"/>
          <w:sz w:val="20"/>
          <w:szCs w:val="20"/>
          <w:highlight w:val="none"/>
          <w:u w:val="none"/>
          <w:lang w:val="en-US" w:eastAsia="zh-Hans" w:bidi="ar"/>
        </w:rPr>
      </w:pPr>
    </w:p>
    <w:p>
      <w:pPr>
        <w:pStyle w:val="7"/>
        <w:rPr>
          <w:rFonts w:hint="default" w:ascii="Times New Roman" w:hAnsi="Times New Roman" w:eastAsia="宋体" w:cs="Times New Roman"/>
          <w:i w:val="0"/>
          <w:color w:val="000000"/>
          <w:kern w:val="0"/>
          <w:sz w:val="20"/>
          <w:szCs w:val="20"/>
          <w:highlight w:val="none"/>
          <w:u w:val="none"/>
          <w:lang w:val="en-US" w:eastAsia="zh-Hans" w:bidi="ar"/>
        </w:rPr>
      </w:pPr>
    </w:p>
    <w:p>
      <w:pPr>
        <w:pStyle w:val="7"/>
        <w:rPr>
          <w:rFonts w:hint="eastAsia" w:cs="Times New Roman"/>
          <w:i w:val="0"/>
          <w:color w:val="000000"/>
          <w:kern w:val="0"/>
          <w:sz w:val="20"/>
          <w:szCs w:val="20"/>
          <w:highlight w:val="none"/>
          <w:u w:val="none"/>
          <w:lang w:val="en-US" w:eastAsia="zh-CN" w:bidi="ar"/>
        </w:rPr>
      </w:pPr>
    </w:p>
    <w:p>
      <w:pPr>
        <w:pStyle w:val="7"/>
        <w:rPr>
          <w:rFonts w:hint="eastAsia" w:cs="Times New Roman"/>
          <w:i w:val="0"/>
          <w:color w:val="000000"/>
          <w:kern w:val="0"/>
          <w:sz w:val="20"/>
          <w:szCs w:val="20"/>
          <w:highlight w:val="none"/>
          <w:u w:val="none"/>
          <w:lang w:val="en-US" w:eastAsia="zh-CN" w:bidi="ar"/>
        </w:rPr>
      </w:pPr>
    </w:p>
    <w:p>
      <w:pPr>
        <w:pStyle w:val="7"/>
        <w:rPr>
          <w:rFonts w:hint="eastAsia" w:cs="Times New Roman"/>
          <w:i w:val="0"/>
          <w:color w:val="000000"/>
          <w:kern w:val="0"/>
          <w:sz w:val="20"/>
          <w:szCs w:val="20"/>
          <w:highlight w:val="none"/>
          <w:u w:val="none"/>
          <w:lang w:val="en-US" w:eastAsia="zh-CN" w:bidi="ar"/>
        </w:rPr>
      </w:pPr>
    </w:p>
    <w:p>
      <w:pPr>
        <w:pStyle w:val="7"/>
        <w:rPr>
          <w:rFonts w:hint="eastAsia" w:cs="Times New Roman"/>
          <w:i w:val="0"/>
          <w:color w:val="000000"/>
          <w:kern w:val="0"/>
          <w:sz w:val="20"/>
          <w:szCs w:val="20"/>
          <w:highlight w:val="none"/>
          <w:u w:val="none"/>
          <w:lang w:val="en-US" w:eastAsia="zh-CN" w:bidi="ar"/>
        </w:rPr>
      </w:pPr>
    </w:p>
    <w:tbl>
      <w:tblPr>
        <w:tblStyle w:val="8"/>
        <w:tblpPr w:leftFromText="180" w:rightFromText="180" w:vertAnchor="text" w:horzAnchor="page" w:tblpXSpec="center" w:tblpY="292"/>
        <w:tblOverlap w:val="never"/>
        <w:tblW w:w="111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783"/>
        <w:gridCol w:w="537"/>
        <w:gridCol w:w="738"/>
        <w:gridCol w:w="2627"/>
        <w:gridCol w:w="1685"/>
        <w:gridCol w:w="1590"/>
        <w:gridCol w:w="888"/>
        <w:gridCol w:w="597"/>
        <w:gridCol w:w="450"/>
        <w:gridCol w:w="241"/>
        <w:gridCol w:w="359"/>
        <w:gridCol w:w="6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133" w:type="dxa"/>
            <w:gridSpan w:val="12"/>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表3</w:t>
            </w:r>
            <w:r>
              <w:rPr>
                <w:rFonts w:hint="eastAsia" w:cs="Times New Roman"/>
                <w:i w:val="0"/>
                <w:color w:val="000000"/>
                <w:kern w:val="0"/>
                <w:sz w:val="20"/>
                <w:szCs w:val="20"/>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jc w:val="center"/>
        </w:trPr>
        <w:tc>
          <w:tcPr>
            <w:tcW w:w="11133" w:type="dxa"/>
            <w:gridSpan w:val="12"/>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eastAsia="zh-CN" w:bidi="ar"/>
              </w:rPr>
              <w:t>本年度</w:t>
            </w:r>
            <w:r>
              <w:rPr>
                <w:rFonts w:hint="eastAsia"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政府新增债券资金使用安排情况表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783" w:type="dxa"/>
            <w:noWrap w:val="0"/>
            <w:vAlign w:val="center"/>
          </w:tcPr>
          <w:p>
            <w:pPr>
              <w:rPr>
                <w:rFonts w:hint="default" w:ascii="Times New Roman" w:hAnsi="Times New Roman" w:eastAsia="宋体" w:cs="Times New Roman"/>
                <w:i w:val="0"/>
                <w:color w:val="000000"/>
                <w:sz w:val="20"/>
                <w:szCs w:val="20"/>
                <w:highlight w:val="none"/>
                <w:u w:val="none"/>
              </w:rPr>
            </w:pPr>
          </w:p>
        </w:tc>
        <w:tc>
          <w:tcPr>
            <w:tcW w:w="537" w:type="dxa"/>
            <w:noWrap w:val="0"/>
            <w:vAlign w:val="center"/>
          </w:tcPr>
          <w:p>
            <w:pPr>
              <w:rPr>
                <w:rFonts w:hint="default" w:ascii="Times New Roman" w:hAnsi="Times New Roman" w:eastAsia="宋体" w:cs="Times New Roman"/>
                <w:i w:val="0"/>
                <w:color w:val="000000"/>
                <w:sz w:val="20"/>
                <w:szCs w:val="20"/>
                <w:highlight w:val="none"/>
                <w:u w:val="none"/>
              </w:rPr>
            </w:pPr>
          </w:p>
        </w:tc>
        <w:tc>
          <w:tcPr>
            <w:tcW w:w="738" w:type="dxa"/>
            <w:noWrap w:val="0"/>
            <w:vAlign w:val="center"/>
          </w:tcPr>
          <w:p>
            <w:pPr>
              <w:rPr>
                <w:rFonts w:hint="default" w:ascii="Times New Roman" w:hAnsi="Times New Roman" w:eastAsia="宋体" w:cs="Times New Roman"/>
                <w:i w:val="0"/>
                <w:color w:val="000000"/>
                <w:sz w:val="20"/>
                <w:szCs w:val="20"/>
                <w:highlight w:val="none"/>
                <w:u w:val="none"/>
              </w:rPr>
            </w:pPr>
          </w:p>
        </w:tc>
        <w:tc>
          <w:tcPr>
            <w:tcW w:w="4312" w:type="dxa"/>
            <w:gridSpan w:val="2"/>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590" w:type="dxa"/>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888" w:type="dxa"/>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597" w:type="dxa"/>
            <w:noWrap w:val="0"/>
            <w:vAlign w:val="center"/>
          </w:tcPr>
          <w:p>
            <w:pPr>
              <w:rPr>
                <w:rFonts w:hint="default" w:ascii="Times New Roman" w:hAnsi="Times New Roman" w:eastAsia="宋体" w:cs="Times New Roman"/>
                <w:i w:val="0"/>
                <w:color w:val="000000"/>
                <w:sz w:val="20"/>
                <w:szCs w:val="20"/>
                <w:highlight w:val="none"/>
                <w:u w:val="none"/>
              </w:rPr>
            </w:pPr>
          </w:p>
        </w:tc>
        <w:tc>
          <w:tcPr>
            <w:tcW w:w="45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41" w:type="dxa"/>
            <w:noWrap w:val="0"/>
            <w:vAlign w:val="center"/>
          </w:tcPr>
          <w:p>
            <w:pPr>
              <w:rPr>
                <w:rFonts w:hint="default" w:ascii="Times New Roman" w:hAnsi="Times New Roman" w:eastAsia="宋体" w:cs="Times New Roman"/>
                <w:i w:val="0"/>
                <w:color w:val="000000"/>
                <w:sz w:val="20"/>
                <w:szCs w:val="20"/>
                <w:highlight w:val="none"/>
                <w:u w:val="none"/>
              </w:rPr>
            </w:pPr>
          </w:p>
        </w:tc>
        <w:tc>
          <w:tcPr>
            <w:tcW w:w="997"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序号</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区划</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项目单位</w:t>
            </w:r>
          </w:p>
        </w:tc>
        <w:tc>
          <w:tcPr>
            <w:tcW w:w="26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项目名称</w:t>
            </w:r>
          </w:p>
        </w:tc>
        <w:tc>
          <w:tcPr>
            <w:tcW w:w="16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投向领域</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债券金额</w:t>
            </w:r>
          </w:p>
        </w:tc>
        <w:tc>
          <w:tcPr>
            <w:tcW w:w="5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偿还来源</w:t>
            </w:r>
          </w:p>
        </w:tc>
        <w:tc>
          <w:tcPr>
            <w:tcW w:w="69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债券期限</w:t>
            </w:r>
          </w:p>
        </w:tc>
        <w:tc>
          <w:tcPr>
            <w:tcW w:w="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利率</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还本付息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73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262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6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9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91"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35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73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262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8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专项债券</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59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91"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35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63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jc w:val="center"/>
        </w:trPr>
        <w:tc>
          <w:tcPr>
            <w:tcW w:w="11133" w:type="dxa"/>
            <w:gridSpan w:val="12"/>
            <w:noWrap w:val="0"/>
            <w:vAlign w:val="center"/>
          </w:tcPr>
          <w:p>
            <w:pPr>
              <w:keepNext w:val="0"/>
              <w:keepLines w:val="0"/>
              <w:widowControl/>
              <w:suppressLineNumbers w:val="0"/>
              <w:jc w:val="left"/>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备注：新增债券额度由喀什地区统筹分配至地区本级，所属县市；泽普县的新增债券项目具体安排，由当地按程序报本级人大批准，未在此表中列示。</w:t>
            </w:r>
          </w:p>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jc w:val="center"/>
        </w:trPr>
        <w:tc>
          <w:tcPr>
            <w:tcW w:w="11133" w:type="dxa"/>
            <w:gridSpan w:val="12"/>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r>
    </w:tbl>
    <w:tbl>
      <w:tblPr>
        <w:tblStyle w:val="8"/>
        <w:tblW w:w="9850" w:type="dxa"/>
        <w:tblInd w:w="-62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316"/>
        <w:gridCol w:w="1584"/>
        <w:gridCol w:w="1580"/>
        <w:gridCol w:w="2180"/>
        <w:gridCol w:w="21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525" w:hRule="atLeast"/>
        </w:trPr>
        <w:tc>
          <w:tcPr>
            <w:tcW w:w="9850" w:type="dxa"/>
            <w:gridSpan w:val="5"/>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表3</w:t>
            </w:r>
            <w:r>
              <w:rPr>
                <w:rFonts w:hint="eastAsia" w:cs="Times New Roman"/>
                <w:i w:val="0"/>
                <w:color w:val="000000"/>
                <w:kern w:val="0"/>
                <w:sz w:val="20"/>
                <w:szCs w:val="20"/>
                <w:highlight w:val="none"/>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525" w:hRule="atLeast"/>
        </w:trPr>
        <w:tc>
          <w:tcPr>
            <w:tcW w:w="9850"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bCs/>
                <w:i w:val="0"/>
                <w:color w:val="000000"/>
                <w:kern w:val="0"/>
                <w:sz w:val="20"/>
                <w:szCs w:val="20"/>
                <w:highlight w:val="none"/>
                <w:u w:val="none"/>
                <w:lang w:eastAsia="zh-CN" w:bidi="ar"/>
              </w:rPr>
              <w:t>上年度</w:t>
            </w:r>
            <w:r>
              <w:rPr>
                <w:rFonts w:hint="eastAsia"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本级政府专项债务表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375" w:hRule="atLeast"/>
        </w:trPr>
        <w:tc>
          <w:tcPr>
            <w:tcW w:w="2316" w:type="dxa"/>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584"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58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18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190"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525" w:hRule="atLeast"/>
        </w:trPr>
        <w:tc>
          <w:tcPr>
            <w:tcW w:w="2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地区</w:t>
            </w:r>
          </w:p>
        </w:tc>
        <w:tc>
          <w:tcPr>
            <w:tcW w:w="15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专项债券收入</w:t>
            </w:r>
          </w:p>
        </w:tc>
        <w:tc>
          <w:tcPr>
            <w:tcW w:w="15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专项债券支出</w:t>
            </w:r>
          </w:p>
        </w:tc>
        <w:tc>
          <w:tcPr>
            <w:tcW w:w="21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专项债券还本付息</w:t>
            </w:r>
          </w:p>
        </w:tc>
        <w:tc>
          <w:tcPr>
            <w:tcW w:w="21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专项收入情况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525" w:hRule="atLeast"/>
        </w:trPr>
        <w:tc>
          <w:tcPr>
            <w:tcW w:w="23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1.37</w:t>
            </w:r>
          </w:p>
        </w:tc>
        <w:tc>
          <w:tcPr>
            <w:tcW w:w="15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1.24</w:t>
            </w:r>
          </w:p>
        </w:tc>
        <w:tc>
          <w:tcPr>
            <w:tcW w:w="15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0.67</w:t>
            </w:r>
          </w:p>
        </w:tc>
        <w:tc>
          <w:tcPr>
            <w:tcW w:w="21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0.67</w:t>
            </w:r>
          </w:p>
        </w:tc>
        <w:tc>
          <w:tcPr>
            <w:tcW w:w="21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1.37</w:t>
            </w:r>
          </w:p>
        </w:tc>
      </w:tr>
    </w:tbl>
    <w:tbl>
      <w:tblPr>
        <w:tblStyle w:val="8"/>
        <w:tblpPr w:leftFromText="180" w:rightFromText="180" w:vertAnchor="text" w:horzAnchor="page" w:tblpX="377" w:tblpY="330"/>
        <w:tblOverlap w:val="never"/>
        <w:tblW w:w="112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710"/>
        <w:gridCol w:w="1515"/>
        <w:gridCol w:w="1560"/>
        <w:gridCol w:w="2610"/>
        <w:gridCol w:w="900"/>
        <w:gridCol w:w="1050"/>
        <w:gridCol w:w="1110"/>
        <w:gridCol w:w="540"/>
        <w:gridCol w:w="495"/>
        <w:gridCol w:w="7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1218" w:type="dxa"/>
            <w:gridSpan w:val="10"/>
            <w:noWrap w:val="0"/>
            <w:vAlign w:val="center"/>
          </w:tcPr>
          <w:p>
            <w:pPr>
              <w:keepNext w:val="0"/>
              <w:keepLines w:val="0"/>
              <w:widowControl/>
              <w:suppressLineNumbers w:val="0"/>
              <w:jc w:val="left"/>
              <w:textAlignment w:val="center"/>
              <w:rPr>
                <w:rFonts w:hint="eastAsia"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Hans" w:bidi="ar"/>
              </w:rPr>
              <w:t>表3</w:t>
            </w:r>
            <w:r>
              <w:rPr>
                <w:rFonts w:hint="eastAsia" w:cs="Times New Roman"/>
                <w:i w:val="0"/>
                <w:color w:val="000000"/>
                <w:kern w:val="0"/>
                <w:sz w:val="20"/>
                <w:szCs w:val="20"/>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1218" w:type="dxa"/>
            <w:gridSpan w:val="10"/>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bCs/>
                <w:i w:val="0"/>
                <w:color w:val="000000"/>
                <w:kern w:val="0"/>
                <w:sz w:val="20"/>
                <w:szCs w:val="20"/>
                <w:highlight w:val="none"/>
                <w:u w:val="none"/>
                <w:lang w:eastAsia="zh-CN" w:bidi="ar"/>
              </w:rPr>
              <w:t>上年度</w:t>
            </w:r>
            <w:r>
              <w:rPr>
                <w:rFonts w:hint="eastAsia" w:cs="Times New Roman"/>
                <w:b/>
                <w:i w:val="0"/>
                <w:color w:val="000000"/>
                <w:kern w:val="0"/>
                <w:sz w:val="20"/>
                <w:szCs w:val="20"/>
                <w:highlight w:val="none"/>
                <w:u w:val="none"/>
                <w:lang w:val="en-US" w:eastAsia="zh-CN" w:bidi="ar"/>
              </w:rPr>
              <w:t>泽普县</w:t>
            </w:r>
            <w:r>
              <w:rPr>
                <w:rFonts w:hint="default" w:ascii="Times New Roman" w:hAnsi="Times New Roman" w:eastAsia="宋体" w:cs="Times New Roman"/>
                <w:b/>
                <w:i w:val="0"/>
                <w:color w:val="000000"/>
                <w:kern w:val="0"/>
                <w:sz w:val="20"/>
                <w:szCs w:val="20"/>
                <w:highlight w:val="none"/>
                <w:u w:val="none"/>
                <w:lang w:val="en-US" w:eastAsia="zh-CN" w:bidi="ar"/>
              </w:rPr>
              <w:t>本级政府专项债券项目表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710" w:type="dxa"/>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51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6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61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90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05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11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54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495" w:type="dxa"/>
            <w:noWrap w:val="0"/>
            <w:vAlign w:val="center"/>
          </w:tcPr>
          <w:p>
            <w:pPr>
              <w:rPr>
                <w:rFonts w:hint="default" w:ascii="Times New Roman" w:hAnsi="Times New Roman" w:eastAsia="宋体" w:cs="Times New Roman"/>
                <w:i w:val="0"/>
                <w:color w:val="000000"/>
                <w:sz w:val="20"/>
                <w:szCs w:val="20"/>
                <w:highlight w:val="none"/>
                <w:u w:val="none"/>
              </w:rPr>
            </w:pPr>
          </w:p>
        </w:tc>
        <w:tc>
          <w:tcPr>
            <w:tcW w:w="728"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71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序号</w:t>
            </w:r>
          </w:p>
        </w:tc>
        <w:tc>
          <w:tcPr>
            <w:tcW w:w="151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主管部门</w:t>
            </w:r>
          </w:p>
        </w:tc>
        <w:tc>
          <w:tcPr>
            <w:tcW w:w="156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项目单位</w:t>
            </w:r>
          </w:p>
        </w:tc>
        <w:tc>
          <w:tcPr>
            <w:tcW w:w="261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项目名称</w:t>
            </w:r>
          </w:p>
        </w:tc>
        <w:tc>
          <w:tcPr>
            <w:tcW w:w="9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债券金额</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111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偿还来源</w:t>
            </w:r>
          </w:p>
        </w:tc>
        <w:tc>
          <w:tcPr>
            <w:tcW w:w="54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债券期限</w:t>
            </w:r>
          </w:p>
        </w:tc>
        <w:tc>
          <w:tcPr>
            <w:tcW w:w="49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利率</w:t>
            </w:r>
          </w:p>
        </w:tc>
        <w:tc>
          <w:tcPr>
            <w:tcW w:w="728"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债券存续期内还本付息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b/>
                <w:i w:val="0"/>
                <w:color w:val="000000"/>
                <w:sz w:val="20"/>
                <w:szCs w:val="20"/>
                <w:highlight w:val="none"/>
                <w:u w:val="none"/>
              </w:rPr>
            </w:pP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eastAsia" w:cs="Times New Roman"/>
                <w:b/>
                <w:i w:val="0"/>
                <w:color w:val="000000"/>
                <w:sz w:val="20"/>
                <w:szCs w:val="20"/>
                <w:highlight w:val="none"/>
                <w:u w:val="none"/>
                <w:lang w:val="en-US" w:eastAsia="zh-CN"/>
              </w:rPr>
              <w:t>1.3684</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b/>
                <w:i w:val="0"/>
                <w:color w:val="000000"/>
                <w:sz w:val="20"/>
                <w:szCs w:val="20"/>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b/>
                <w:i w:val="0"/>
                <w:color w:val="000000"/>
                <w:sz w:val="20"/>
                <w:szCs w:val="20"/>
                <w:highlight w:val="none"/>
                <w:u w:val="none"/>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b/>
                <w:i w:val="0"/>
                <w:color w:val="000000"/>
                <w:sz w:val="20"/>
                <w:szCs w:val="20"/>
                <w:highlight w:val="none"/>
                <w:u w:val="none"/>
              </w:rPr>
            </w:pP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b/>
                <w:i w:val="0"/>
                <w:color w:val="000000"/>
                <w:sz w:val="20"/>
                <w:szCs w:val="20"/>
                <w:highlight w:val="none"/>
                <w:u w:val="none"/>
              </w:rPr>
            </w:pP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b/>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cs="Times New Roman"/>
                <w:b w:val="0"/>
                <w:bCs/>
                <w:i w:val="0"/>
                <w:color w:val="000000"/>
                <w:sz w:val="20"/>
                <w:szCs w:val="20"/>
                <w:highlight w:val="none"/>
                <w:u w:val="none"/>
                <w:lang w:eastAsia="zh-CN"/>
              </w:rPr>
            </w:pPr>
            <w:r>
              <w:rPr>
                <w:rFonts w:hint="default" w:cs="Times New Roman"/>
                <w:b w:val="0"/>
                <w:bCs/>
                <w:i w:val="0"/>
                <w:color w:val="000000"/>
                <w:sz w:val="20"/>
                <w:szCs w:val="20"/>
                <w:highlight w:val="none"/>
                <w:u w:val="none"/>
                <w:lang w:val="en-US" w:eastAsia="zh-CN"/>
              </w:rPr>
              <w:t>1</w:t>
            </w:r>
          </w:p>
        </w:tc>
        <w:tc>
          <w:tcPr>
            <w:tcW w:w="1515"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cs="Times New Roman"/>
                <w:b w:val="0"/>
                <w:bCs/>
                <w:i w:val="0"/>
                <w:color w:val="000000"/>
                <w:sz w:val="20"/>
                <w:szCs w:val="20"/>
                <w:highlight w:val="none"/>
                <w:u w:val="none"/>
                <w:lang w:eastAsia="zh-CN"/>
              </w:rPr>
            </w:pPr>
          </w:p>
          <w:p>
            <w:pPr>
              <w:jc w:val="center"/>
              <w:rPr>
                <w:rFonts w:hint="default" w:cs="Times New Roman"/>
                <w:b w:val="0"/>
                <w:bCs/>
                <w:i w:val="0"/>
                <w:color w:val="000000"/>
                <w:sz w:val="20"/>
                <w:szCs w:val="20"/>
                <w:highlight w:val="none"/>
                <w:u w:val="none"/>
                <w:lang w:val="en-US" w:eastAsia="zh-CN"/>
              </w:rPr>
            </w:pPr>
            <w:r>
              <w:rPr>
                <w:rFonts w:hint="eastAsia" w:cs="Times New Roman"/>
                <w:b w:val="0"/>
                <w:bCs/>
                <w:i w:val="0"/>
                <w:color w:val="000000"/>
                <w:sz w:val="20"/>
                <w:szCs w:val="20"/>
                <w:highlight w:val="none"/>
                <w:u w:val="none"/>
                <w:lang w:val="en-US" w:eastAsia="zh-CN"/>
              </w:rPr>
              <w:t>住建局</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b w:val="0"/>
                <w:bCs/>
                <w:i w:val="0"/>
                <w:color w:val="000000"/>
                <w:sz w:val="20"/>
                <w:szCs w:val="20"/>
                <w:highlight w:val="none"/>
                <w:u w:val="none"/>
                <w:lang w:eastAsia="zh-CN"/>
              </w:rPr>
              <w:t>住建局</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喀什地区泽普县供气基础设施提升改造建设项目</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b w:val="0"/>
                <w:bCs/>
                <w:i w:val="0"/>
                <w:color w:val="000000"/>
                <w:sz w:val="20"/>
                <w:szCs w:val="20"/>
                <w:highlight w:val="none"/>
                <w:u w:val="none"/>
                <w:lang w:val="en-US" w:eastAsia="zh-CN"/>
              </w:rPr>
              <w:t>0.21</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b w:val="0"/>
                <w:bCs/>
                <w:i w:val="0"/>
                <w:color w:val="000000"/>
                <w:sz w:val="20"/>
                <w:szCs w:val="20"/>
                <w:highlight w:val="none"/>
                <w:u w:val="none"/>
                <w:lang w:eastAsia="zh-CN"/>
              </w:rPr>
              <w:t>专项债券</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b w:val="0"/>
                <w:bCs/>
                <w:i w:val="0"/>
                <w:color w:val="000000"/>
                <w:sz w:val="20"/>
                <w:szCs w:val="20"/>
                <w:highlight w:val="none"/>
                <w:u w:val="none"/>
                <w:lang w:eastAsia="zh-CN"/>
              </w:rPr>
              <w:t>项目对应的政府基金收入</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val="0"/>
                <w:bCs/>
                <w:i w:val="0"/>
                <w:color w:val="000000"/>
                <w:kern w:val="2"/>
                <w:sz w:val="20"/>
                <w:szCs w:val="20"/>
                <w:highlight w:val="none"/>
                <w:u w:val="none"/>
                <w:lang w:val="en-US" w:eastAsia="zh-CN" w:bidi="ar-SA"/>
              </w:rPr>
            </w:pPr>
            <w:r>
              <w:rPr>
                <w:rFonts w:hint="eastAsia" w:cs="Times New Roman"/>
                <w:b w:val="0"/>
                <w:bCs/>
                <w:i w:val="0"/>
                <w:color w:val="000000"/>
                <w:sz w:val="20"/>
                <w:szCs w:val="20"/>
                <w:highlight w:val="none"/>
                <w:u w:val="none"/>
                <w:lang w:val="en-US" w:eastAsia="zh-CN"/>
              </w:rPr>
              <w:t>15</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val="0"/>
                <w:bCs/>
                <w:i w:val="0"/>
                <w:color w:val="000000"/>
                <w:kern w:val="2"/>
                <w:sz w:val="20"/>
                <w:szCs w:val="20"/>
                <w:highlight w:val="none"/>
                <w:u w:val="none"/>
                <w:lang w:val="en-US" w:eastAsia="zh-CN" w:bidi="ar-SA"/>
              </w:rPr>
            </w:pPr>
            <w:r>
              <w:rPr>
                <w:rFonts w:hint="eastAsia" w:cs="Times New Roman"/>
                <w:b w:val="0"/>
                <w:bCs/>
                <w:i w:val="0"/>
                <w:color w:val="000000"/>
                <w:sz w:val="20"/>
                <w:szCs w:val="20"/>
                <w:highlight w:val="none"/>
                <w:u w:val="none"/>
                <w:lang w:val="en-US" w:eastAsia="zh-CN"/>
              </w:rPr>
              <w:t>2.29</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val="0"/>
                <w:bCs/>
                <w:i w:val="0"/>
                <w:color w:val="000000"/>
                <w:kern w:val="2"/>
                <w:sz w:val="20"/>
                <w:szCs w:val="20"/>
                <w:highlight w:val="none"/>
                <w:u w:val="none"/>
                <w:lang w:val="en-US" w:eastAsia="zh-CN" w:bidi="ar-SA"/>
              </w:rPr>
            </w:pPr>
            <w:r>
              <w:rPr>
                <w:rFonts w:hint="eastAsia" w:cs="Times New Roman"/>
                <w:b w:val="0"/>
                <w:bCs/>
                <w:i w:val="0"/>
                <w:color w:val="000000"/>
                <w:sz w:val="20"/>
                <w:szCs w:val="20"/>
                <w:highlight w:val="none"/>
                <w:u w:val="none"/>
                <w:lang w:val="en-US" w:eastAsia="zh-CN"/>
              </w:rPr>
              <w:t>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工信局</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工信局</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泽普县政府投资项目</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0.504</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专项债券</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政府性基金收入</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2.03</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工信局</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工信局</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泽普县政府投资项目</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0.5357</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专项债券</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政府性基金收入</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30</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2.03</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eastAsia="zh-CN" w:bidi="ar"/>
              </w:rPr>
              <w:t>...</w:t>
            </w:r>
          </w:p>
        </w:tc>
        <w:tc>
          <w:tcPr>
            <w:tcW w:w="15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工信局</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工信局</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泽普县政府投资项目</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0.1187</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专项债券</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eastAsia="zh-CN"/>
              </w:rPr>
              <w:t>政府性基金收入</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30</w:t>
            </w:r>
          </w:p>
        </w:tc>
        <w:tc>
          <w:tcPr>
            <w:tcW w:w="4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2.05</w:t>
            </w:r>
          </w:p>
        </w:tc>
        <w:tc>
          <w:tcPr>
            <w:tcW w:w="7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0" w:hRule="atLeast"/>
        </w:trPr>
        <w:tc>
          <w:tcPr>
            <w:tcW w:w="11218" w:type="dxa"/>
            <w:gridSpan w:val="10"/>
            <w:tcBorders>
              <w:top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备注：所有专项债券在进入项目储备库之前，全部编制《项目实施方案》，全面反映项目收支预算总体平衡方案和分年平衡方案，并经过独立第三方进行评审。</w:t>
            </w:r>
          </w:p>
        </w:tc>
      </w:tr>
    </w:tbl>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after="0" w:line="360" w:lineRule="auto"/>
        <w:ind w:right="0" w:rightChars="0" w:firstLine="627" w:firstLineChars="200"/>
        <w:jc w:val="left"/>
        <w:textAlignment w:val="auto"/>
        <w:outlineLvl w:val="0"/>
        <w:rPr>
          <w:rFonts w:hint="default" w:ascii="Times New Roman" w:hAnsi="Times New Roman" w:eastAsia="楷体_GB2312" w:cs="Times New Roman"/>
          <w:b/>
          <w:spacing w:val="-4"/>
          <w:sz w:val="32"/>
          <w:szCs w:val="32"/>
          <w:highlight w:val="none"/>
          <w:lang w:val="en-US" w:eastAsia="zh-CN"/>
        </w:rPr>
      </w:pP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一、</w:t>
      </w:r>
      <w:r>
        <w:rPr>
          <w:rFonts w:hint="eastAsia" w:eastAsia="楷体_GB2312" w:cs="Times New Roman"/>
          <w:b/>
          <w:spacing w:val="-4"/>
          <w:sz w:val="32"/>
          <w:szCs w:val="32"/>
          <w:highlight w:val="none"/>
          <w:lang w:val="en-US" w:eastAsia="zh-CN"/>
        </w:rPr>
        <w:t>2025</w:t>
      </w:r>
      <w:r>
        <w:rPr>
          <w:rFonts w:hint="default" w:ascii="Times New Roman" w:hAnsi="Times New Roman" w:eastAsia="楷体_GB2312" w:cs="Times New Roman"/>
          <w:b/>
          <w:spacing w:val="-4"/>
          <w:sz w:val="32"/>
          <w:szCs w:val="32"/>
          <w:highlight w:val="none"/>
          <w:lang w:val="en-US" w:eastAsia="zh-CN"/>
        </w:rPr>
        <w:t>年度政府债务限额总体情况</w:t>
      </w:r>
    </w:p>
    <w:p>
      <w:pPr>
        <w:keepNext w:val="0"/>
        <w:keepLines w:val="0"/>
        <w:pageBreakBefore w:val="0"/>
        <w:widowControl w:val="0"/>
        <w:suppressLineNumbers w:val="0"/>
        <w:kinsoku/>
        <w:wordWrap/>
        <w:overflowPunct/>
        <w:topLinePunct w:val="0"/>
        <w:autoSpaceDE w:val="0"/>
        <w:autoSpaceDN w:val="0"/>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2025</w:t>
      </w:r>
      <w:r>
        <w:rPr>
          <w:rFonts w:hint="default" w:ascii="Times New Roman" w:hAnsi="Times New Roman" w:eastAsia="仿宋_GB2312" w:cs="Times New Roman"/>
          <w:color w:val="000000"/>
          <w:kern w:val="0"/>
          <w:sz w:val="32"/>
          <w:szCs w:val="32"/>
          <w:highlight w:val="none"/>
          <w:lang w:val="en-US" w:eastAsia="zh-CN" w:bidi="ar"/>
        </w:rPr>
        <w:t>年度</w:t>
      </w:r>
      <w:r>
        <w:rPr>
          <w:rFonts w:hint="eastAsia" w:eastAsia="仿宋_GB2312" w:cs="Times New Roman"/>
          <w:color w:val="000000"/>
          <w:kern w:val="0"/>
          <w:sz w:val="32"/>
          <w:szCs w:val="32"/>
          <w:highlight w:val="none"/>
          <w:lang w:val="en-US" w:eastAsia="zh-CN" w:bidi="ar"/>
        </w:rPr>
        <w:t>喀什</w:t>
      </w:r>
      <w:r>
        <w:rPr>
          <w:rFonts w:hint="default" w:ascii="Times New Roman" w:hAnsi="Times New Roman" w:eastAsia="仿宋_GB2312" w:cs="Times New Roman"/>
          <w:color w:val="000000"/>
          <w:kern w:val="0"/>
          <w:sz w:val="32"/>
          <w:szCs w:val="32"/>
          <w:highlight w:val="none"/>
          <w:lang w:val="en-US" w:eastAsia="zh-CN" w:bidi="ar"/>
        </w:rPr>
        <w:t>地区</w:t>
      </w:r>
      <w:r>
        <w:rPr>
          <w:rFonts w:hint="eastAsia" w:eastAsia="仿宋_GB2312" w:cs="Times New Roman"/>
          <w:color w:val="000000"/>
          <w:kern w:val="0"/>
          <w:sz w:val="32"/>
          <w:szCs w:val="32"/>
          <w:highlight w:val="none"/>
          <w:lang w:val="en-US" w:eastAsia="zh-CN" w:bidi="ar"/>
        </w:rPr>
        <w:t>泽普县</w:t>
      </w:r>
      <w:r>
        <w:rPr>
          <w:rFonts w:hint="default" w:ascii="Times New Roman" w:hAnsi="Times New Roman" w:eastAsia="仿宋_GB2312" w:cs="Times New Roman"/>
          <w:color w:val="000000"/>
          <w:kern w:val="0"/>
          <w:sz w:val="32"/>
          <w:szCs w:val="32"/>
          <w:highlight w:val="none"/>
          <w:lang w:val="en-US" w:eastAsia="zh-CN" w:bidi="ar"/>
        </w:rPr>
        <w:t>政府债务限额总额为</w:t>
      </w:r>
      <w:r>
        <w:rPr>
          <w:rFonts w:hint="eastAsia" w:eastAsia="仿宋_GB2312" w:cs="Times New Roman"/>
          <w:color w:val="000000"/>
          <w:kern w:val="0"/>
          <w:sz w:val="32"/>
          <w:szCs w:val="32"/>
          <w:highlight w:val="none"/>
          <w:lang w:val="en-US" w:eastAsia="zh-CN" w:bidi="ar"/>
        </w:rPr>
        <w:t>34.58</w:t>
      </w:r>
      <w:r>
        <w:rPr>
          <w:rFonts w:hint="default" w:ascii="Times New Roman" w:hAnsi="Times New Roman" w:eastAsia="仿宋_GB2312" w:cs="Times New Roman"/>
          <w:color w:val="000000"/>
          <w:kern w:val="0"/>
          <w:sz w:val="32"/>
          <w:szCs w:val="32"/>
          <w:highlight w:val="none"/>
          <w:lang w:val="en-US" w:eastAsia="zh-CN" w:bidi="ar"/>
        </w:rPr>
        <w:t>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（一）政府债务限额分类型情况。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1.一般债务限额总额情况。</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喀什</w:t>
      </w:r>
      <w:r>
        <w:rPr>
          <w:rFonts w:hint="default" w:ascii="Times New Roman" w:hAnsi="Times New Roman" w:eastAsia="仿宋_GB2312" w:cs="Times New Roman"/>
          <w:sz w:val="32"/>
          <w:szCs w:val="32"/>
          <w:highlight w:val="none"/>
          <w:lang w:val="en-US" w:eastAsia="zh-CN"/>
        </w:rPr>
        <w:t>地区</w:t>
      </w:r>
      <w:r>
        <w:rPr>
          <w:rFonts w:hint="eastAsia" w:eastAsia="仿宋_GB2312" w:cs="Times New Roman"/>
          <w:sz w:val="32"/>
          <w:szCs w:val="32"/>
          <w:highlight w:val="none"/>
          <w:lang w:val="en-US" w:eastAsia="zh-CN"/>
        </w:rPr>
        <w:t>泽普县</w:t>
      </w:r>
      <w:r>
        <w:rPr>
          <w:rFonts w:hint="default" w:ascii="Times New Roman" w:hAnsi="Times New Roman" w:eastAsia="仿宋_GB2312" w:cs="Times New Roman"/>
          <w:sz w:val="32"/>
          <w:szCs w:val="32"/>
          <w:highlight w:val="none"/>
          <w:lang w:val="en-US" w:eastAsia="zh-CN"/>
        </w:rPr>
        <w:t>政府一般债务限额总额</w:t>
      </w:r>
      <w:r>
        <w:rPr>
          <w:rFonts w:hint="eastAsia" w:eastAsia="仿宋_GB2312" w:cs="Times New Roman"/>
          <w:sz w:val="32"/>
          <w:szCs w:val="32"/>
          <w:highlight w:val="none"/>
          <w:lang w:val="en-US" w:eastAsia="zh-CN"/>
        </w:rPr>
        <w:t>8.56</w:t>
      </w:r>
      <w:r>
        <w:rPr>
          <w:rFonts w:hint="default" w:ascii="Times New Roman" w:hAnsi="Times New Roman" w:eastAsia="仿宋_GB2312" w:cs="Times New Roman"/>
          <w:sz w:val="32"/>
          <w:szCs w:val="32"/>
          <w:highlight w:val="none"/>
          <w:lang w:val="en-US" w:eastAsia="zh-CN"/>
        </w:rPr>
        <w:t>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2.专项债务限额总额情况。</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color w:val="000000"/>
          <w:kern w:val="0"/>
          <w:sz w:val="32"/>
          <w:szCs w:val="32"/>
          <w:highlight w:val="none"/>
          <w:lang w:val="en-US" w:eastAsia="zh-CN" w:bidi="ar"/>
        </w:rPr>
        <w:t>喀什</w:t>
      </w:r>
      <w:r>
        <w:rPr>
          <w:rFonts w:hint="default" w:ascii="Times New Roman" w:hAnsi="Times New Roman" w:eastAsia="仿宋_GB2312" w:cs="Times New Roman"/>
          <w:color w:val="000000"/>
          <w:kern w:val="0"/>
          <w:sz w:val="32"/>
          <w:szCs w:val="32"/>
          <w:highlight w:val="none"/>
          <w:lang w:val="en-US" w:eastAsia="zh-CN" w:bidi="ar"/>
        </w:rPr>
        <w:t>地区</w:t>
      </w:r>
      <w:r>
        <w:rPr>
          <w:rFonts w:hint="eastAsia" w:eastAsia="仿宋_GB2312" w:cs="Times New Roman"/>
          <w:sz w:val="32"/>
          <w:szCs w:val="32"/>
          <w:highlight w:val="none"/>
          <w:lang w:val="en-US" w:eastAsia="zh-CN"/>
        </w:rPr>
        <w:t>泽普县</w:t>
      </w:r>
      <w:r>
        <w:rPr>
          <w:rFonts w:hint="default" w:ascii="Times New Roman" w:hAnsi="Times New Roman" w:eastAsia="仿宋_GB2312" w:cs="Times New Roman"/>
          <w:sz w:val="32"/>
          <w:szCs w:val="32"/>
          <w:highlight w:val="none"/>
          <w:lang w:val="en-US" w:eastAsia="zh-CN"/>
        </w:rPr>
        <w:t>政府专项债务限额总额为</w:t>
      </w:r>
      <w:r>
        <w:rPr>
          <w:rFonts w:hint="eastAsia" w:eastAsia="仿宋_GB2312" w:cs="Times New Roman"/>
          <w:sz w:val="32"/>
          <w:szCs w:val="32"/>
          <w:highlight w:val="none"/>
          <w:lang w:val="en-US" w:eastAsia="zh-CN"/>
        </w:rPr>
        <w:t>26.02</w:t>
      </w:r>
      <w:r>
        <w:rPr>
          <w:rFonts w:hint="default" w:ascii="Times New Roman" w:hAnsi="Times New Roman" w:eastAsia="仿宋_GB2312" w:cs="Times New Roman"/>
          <w:sz w:val="32"/>
          <w:szCs w:val="32"/>
          <w:highlight w:val="none"/>
          <w:lang w:val="en-US" w:eastAsia="zh-CN"/>
        </w:rPr>
        <w:t>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（二）新增债务限额情况。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1.新增一般债务限额情况。</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喀什</w:t>
      </w:r>
      <w:r>
        <w:rPr>
          <w:rFonts w:hint="default" w:ascii="Times New Roman" w:hAnsi="Times New Roman" w:eastAsia="仿宋_GB2312" w:cs="Times New Roman"/>
          <w:sz w:val="32"/>
          <w:szCs w:val="32"/>
          <w:highlight w:val="none"/>
          <w:lang w:val="en-US" w:eastAsia="zh-CN"/>
        </w:rPr>
        <w:t>地区</w:t>
      </w:r>
      <w:r>
        <w:rPr>
          <w:rFonts w:hint="eastAsia" w:eastAsia="仿宋_GB2312" w:cs="Times New Roman"/>
          <w:sz w:val="32"/>
          <w:szCs w:val="32"/>
          <w:highlight w:val="none"/>
          <w:lang w:val="en-US" w:eastAsia="zh-CN"/>
        </w:rPr>
        <w:t>泽普县</w:t>
      </w:r>
      <w:r>
        <w:rPr>
          <w:rFonts w:hint="default" w:ascii="Times New Roman" w:hAnsi="Times New Roman" w:eastAsia="仿宋_GB2312" w:cs="Times New Roman"/>
          <w:sz w:val="32"/>
          <w:szCs w:val="32"/>
          <w:highlight w:val="none"/>
          <w:lang w:val="en-US" w:eastAsia="zh-CN"/>
        </w:rPr>
        <w:t>政府新增一般债务限额总额</w:t>
      </w:r>
      <w:r>
        <w:rPr>
          <w:rFonts w:hint="eastAsia" w:eastAsia="仿宋_GB2312" w:cs="Times New Roman"/>
          <w:sz w:val="32"/>
          <w:szCs w:val="32"/>
          <w:highlight w:val="none"/>
          <w:lang w:val="en-US" w:eastAsia="zh-CN"/>
        </w:rPr>
        <w:t>0.7</w:t>
      </w:r>
      <w:r>
        <w:rPr>
          <w:rFonts w:hint="default" w:ascii="Times New Roman" w:hAnsi="Times New Roman" w:eastAsia="仿宋_GB2312" w:cs="Times New Roman"/>
          <w:sz w:val="32"/>
          <w:szCs w:val="32"/>
          <w:highlight w:val="none"/>
          <w:lang w:val="en-US" w:eastAsia="zh-CN"/>
        </w:rPr>
        <w:t>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2.新增专项债务限额情况。</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喀什</w:t>
      </w:r>
      <w:r>
        <w:rPr>
          <w:rFonts w:hint="default" w:ascii="Times New Roman" w:hAnsi="Times New Roman" w:eastAsia="仿宋_GB2312" w:cs="Times New Roman"/>
          <w:sz w:val="32"/>
          <w:szCs w:val="32"/>
          <w:highlight w:val="none"/>
          <w:lang w:val="en-US" w:eastAsia="zh-CN"/>
        </w:rPr>
        <w:t>地区</w:t>
      </w:r>
      <w:r>
        <w:rPr>
          <w:rFonts w:hint="eastAsia" w:eastAsia="仿宋_GB2312" w:cs="Times New Roman"/>
          <w:sz w:val="32"/>
          <w:szCs w:val="32"/>
          <w:highlight w:val="none"/>
          <w:lang w:val="en-US" w:eastAsia="zh-CN"/>
        </w:rPr>
        <w:t>泽普县</w:t>
      </w:r>
      <w:r>
        <w:rPr>
          <w:rFonts w:hint="default" w:ascii="Times New Roman" w:hAnsi="Times New Roman" w:eastAsia="仿宋_GB2312" w:cs="Times New Roman"/>
          <w:sz w:val="32"/>
          <w:szCs w:val="32"/>
          <w:highlight w:val="none"/>
          <w:lang w:val="en-US" w:eastAsia="zh-CN"/>
        </w:rPr>
        <w:t>政府新增专项债务限额总额为</w:t>
      </w:r>
      <w:r>
        <w:rPr>
          <w:rFonts w:hint="eastAsia" w:eastAsia="仿宋_GB2312" w:cs="Times New Roman"/>
          <w:sz w:val="32"/>
          <w:szCs w:val="32"/>
          <w:highlight w:val="none"/>
          <w:lang w:val="en-US" w:eastAsia="zh-CN"/>
        </w:rPr>
        <w:t>4.16</w:t>
      </w:r>
      <w:r>
        <w:rPr>
          <w:rFonts w:hint="default" w:ascii="Times New Roman" w:hAnsi="Times New Roman" w:eastAsia="仿宋_GB2312" w:cs="Times New Roman"/>
          <w:sz w:val="32"/>
          <w:szCs w:val="32"/>
          <w:highlight w:val="none"/>
          <w:lang w:val="en-US" w:eastAsia="zh-CN"/>
        </w:rPr>
        <w:t>亿元。</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二、</w:t>
      </w:r>
      <w:r>
        <w:rPr>
          <w:rFonts w:hint="eastAsia" w:eastAsia="楷体_GB2312" w:cs="Times New Roman"/>
          <w:b/>
          <w:spacing w:val="-4"/>
          <w:sz w:val="32"/>
          <w:szCs w:val="32"/>
          <w:highlight w:val="none"/>
          <w:lang w:val="en-US" w:eastAsia="zh-CN"/>
        </w:rPr>
        <w:t>2025</w:t>
      </w:r>
      <w:r>
        <w:rPr>
          <w:rFonts w:hint="default" w:ascii="Times New Roman" w:hAnsi="Times New Roman" w:eastAsia="楷体_GB2312" w:cs="Times New Roman"/>
          <w:b/>
          <w:spacing w:val="-4"/>
          <w:sz w:val="32"/>
          <w:szCs w:val="32"/>
          <w:highlight w:val="none"/>
          <w:lang w:val="en-US" w:eastAsia="zh-CN"/>
        </w:rPr>
        <w:t>年度政府债务余额情况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喀什</w:t>
      </w:r>
      <w:r>
        <w:rPr>
          <w:rFonts w:hint="default" w:ascii="Times New Roman" w:hAnsi="Times New Roman" w:eastAsia="仿宋_GB2312" w:cs="Times New Roman"/>
          <w:sz w:val="32"/>
          <w:szCs w:val="32"/>
          <w:highlight w:val="none"/>
          <w:lang w:val="en-US" w:eastAsia="zh-CN"/>
        </w:rPr>
        <w:t>地区</w:t>
      </w:r>
      <w:r>
        <w:rPr>
          <w:rFonts w:hint="eastAsia" w:eastAsia="仿宋_GB2312" w:cs="Times New Roman"/>
          <w:sz w:val="32"/>
          <w:szCs w:val="32"/>
          <w:highlight w:val="none"/>
          <w:lang w:val="en-US" w:eastAsia="zh-CN"/>
        </w:rPr>
        <w:t>泽普县</w:t>
      </w:r>
      <w:r>
        <w:rPr>
          <w:rFonts w:hint="default" w:ascii="Times New Roman" w:hAnsi="Times New Roman" w:eastAsia="仿宋_GB2312" w:cs="Times New Roman"/>
          <w:sz w:val="32"/>
          <w:szCs w:val="32"/>
          <w:highlight w:val="none"/>
          <w:lang w:val="en-US" w:eastAsia="zh-CN"/>
        </w:rPr>
        <w:t>政府债务余额决算数为</w:t>
      </w:r>
      <w:r>
        <w:rPr>
          <w:rFonts w:hint="eastAsia" w:eastAsia="仿宋_GB2312" w:cs="Times New Roman"/>
          <w:sz w:val="32"/>
          <w:szCs w:val="32"/>
          <w:highlight w:val="none"/>
          <w:lang w:val="en-US" w:eastAsia="zh-CN"/>
        </w:rPr>
        <w:t>31.64</w:t>
      </w:r>
      <w:r>
        <w:rPr>
          <w:rFonts w:hint="default" w:ascii="Times New Roman" w:hAnsi="Times New Roman" w:eastAsia="仿宋_GB2312" w:cs="Times New Roman"/>
          <w:sz w:val="32"/>
          <w:szCs w:val="32"/>
          <w:highlight w:val="none"/>
          <w:lang w:val="en-US" w:eastAsia="zh-CN"/>
        </w:rPr>
        <w:t>亿元，政府债务余额全部严格控制在限额</w:t>
      </w:r>
      <w:r>
        <w:rPr>
          <w:rFonts w:hint="eastAsia" w:eastAsia="仿宋_GB2312" w:cs="Times New Roman"/>
          <w:sz w:val="32"/>
          <w:szCs w:val="32"/>
          <w:highlight w:val="none"/>
          <w:lang w:val="en-US" w:eastAsia="zh-CN"/>
        </w:rPr>
        <w:t>34.58</w:t>
      </w:r>
      <w:r>
        <w:rPr>
          <w:rFonts w:hint="default" w:ascii="Times New Roman" w:hAnsi="Times New Roman" w:eastAsia="仿宋_GB2312" w:cs="Times New Roman"/>
          <w:sz w:val="32"/>
          <w:szCs w:val="32"/>
          <w:highlight w:val="none"/>
          <w:lang w:val="en-US" w:eastAsia="zh-CN"/>
        </w:rPr>
        <w:t>亿元内。</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（一）一般债务余额决算数。</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w:t>
      </w:r>
      <w:r>
        <w:rPr>
          <w:rFonts w:hint="eastAsia" w:eastAsia="仿宋_GB2312" w:cs="Times New Roman"/>
          <w:sz w:val="32"/>
          <w:szCs w:val="32"/>
          <w:highlight w:val="none"/>
          <w:lang w:val="en-US" w:eastAsia="zh-CN"/>
        </w:rPr>
        <w:t>喀什</w:t>
      </w:r>
      <w:r>
        <w:rPr>
          <w:rFonts w:hint="default" w:ascii="Times New Roman" w:hAnsi="Times New Roman" w:eastAsia="仿宋_GB2312" w:cs="Times New Roman"/>
          <w:sz w:val="32"/>
          <w:szCs w:val="32"/>
          <w:highlight w:val="none"/>
          <w:lang w:val="en-US" w:eastAsia="zh-CN"/>
        </w:rPr>
        <w:t>地区</w:t>
      </w:r>
      <w:r>
        <w:rPr>
          <w:rFonts w:hint="eastAsia" w:eastAsia="仿宋_GB2312" w:cs="Times New Roman"/>
          <w:sz w:val="32"/>
          <w:szCs w:val="32"/>
          <w:highlight w:val="none"/>
          <w:lang w:val="en-US" w:eastAsia="zh-CN"/>
        </w:rPr>
        <w:t>泽普县</w:t>
      </w:r>
      <w:r>
        <w:rPr>
          <w:rFonts w:hint="default" w:ascii="Times New Roman" w:hAnsi="Times New Roman" w:eastAsia="仿宋_GB2312" w:cs="Times New Roman"/>
          <w:sz w:val="32"/>
          <w:szCs w:val="32"/>
          <w:highlight w:val="none"/>
          <w:lang w:val="en-US" w:eastAsia="zh-CN"/>
        </w:rPr>
        <w:t>政府一般债务余额决算数为</w:t>
      </w:r>
      <w:r>
        <w:rPr>
          <w:rFonts w:hint="eastAsia" w:eastAsia="仿宋_GB2312" w:cs="Times New Roman"/>
          <w:sz w:val="32"/>
          <w:szCs w:val="32"/>
          <w:highlight w:val="none"/>
          <w:lang w:val="en-US" w:eastAsia="zh-CN"/>
        </w:rPr>
        <w:t>8.4</w:t>
      </w:r>
      <w:r>
        <w:rPr>
          <w:rFonts w:hint="default" w:ascii="Times New Roman" w:hAnsi="Times New Roman" w:eastAsia="仿宋_GB2312" w:cs="Times New Roman"/>
          <w:sz w:val="32"/>
          <w:szCs w:val="32"/>
          <w:highlight w:val="none"/>
          <w:lang w:val="en-US" w:eastAsia="zh-CN"/>
        </w:rPr>
        <w:t>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（二）专项债务余额决算数。</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喀什</w:t>
      </w:r>
      <w:r>
        <w:rPr>
          <w:rFonts w:hint="default" w:ascii="Times New Roman" w:hAnsi="Times New Roman" w:eastAsia="仿宋_GB2312" w:cs="Times New Roman"/>
          <w:sz w:val="32"/>
          <w:szCs w:val="32"/>
          <w:highlight w:val="none"/>
          <w:lang w:val="en-US" w:eastAsia="zh-CN"/>
        </w:rPr>
        <w:t>地区</w:t>
      </w:r>
      <w:r>
        <w:rPr>
          <w:rFonts w:hint="eastAsia" w:eastAsia="仿宋_GB2312" w:cs="Times New Roman"/>
          <w:sz w:val="32"/>
          <w:szCs w:val="32"/>
          <w:highlight w:val="none"/>
          <w:lang w:val="en-US" w:eastAsia="zh-CN"/>
        </w:rPr>
        <w:t>泽普县</w:t>
      </w:r>
      <w:r>
        <w:rPr>
          <w:rFonts w:hint="default" w:ascii="Times New Roman" w:hAnsi="Times New Roman" w:eastAsia="仿宋_GB2312" w:cs="Times New Roman"/>
          <w:sz w:val="32"/>
          <w:szCs w:val="32"/>
          <w:highlight w:val="none"/>
          <w:lang w:val="en-US" w:eastAsia="zh-CN"/>
        </w:rPr>
        <w:t>政府专项债务余额决算数为</w:t>
      </w:r>
      <w:r>
        <w:rPr>
          <w:rFonts w:hint="eastAsia" w:eastAsia="仿宋_GB2312" w:cs="Times New Roman"/>
          <w:sz w:val="32"/>
          <w:szCs w:val="32"/>
          <w:highlight w:val="none"/>
          <w:lang w:val="en-US" w:eastAsia="zh-CN"/>
        </w:rPr>
        <w:t>23.24</w:t>
      </w:r>
      <w:r>
        <w:rPr>
          <w:rFonts w:hint="default" w:ascii="Times New Roman" w:hAnsi="Times New Roman" w:eastAsia="仿宋_GB2312" w:cs="Times New Roman"/>
          <w:sz w:val="32"/>
          <w:szCs w:val="32"/>
          <w:highlight w:val="none"/>
          <w:lang w:val="en-US" w:eastAsia="zh-CN"/>
        </w:rPr>
        <w:t>亿元。</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color w:val="auto"/>
          <w:spacing w:val="-4"/>
          <w:sz w:val="32"/>
          <w:szCs w:val="32"/>
          <w:highlight w:val="none"/>
          <w:lang w:val="en-US" w:eastAsia="zh-CN"/>
        </w:rPr>
      </w:pPr>
      <w:r>
        <w:rPr>
          <w:rFonts w:hint="default" w:ascii="Times New Roman" w:hAnsi="Times New Roman" w:eastAsia="楷体_GB2312" w:cs="Times New Roman"/>
          <w:b/>
          <w:color w:val="auto"/>
          <w:spacing w:val="-4"/>
          <w:sz w:val="32"/>
          <w:szCs w:val="32"/>
          <w:highlight w:val="none"/>
          <w:lang w:val="en-US" w:eastAsia="zh-CN"/>
        </w:rPr>
        <w:t>三、</w:t>
      </w:r>
      <w:r>
        <w:rPr>
          <w:rFonts w:hint="eastAsia" w:eastAsia="楷体_GB2312" w:cs="Times New Roman"/>
          <w:b/>
          <w:color w:val="auto"/>
          <w:spacing w:val="-4"/>
          <w:sz w:val="32"/>
          <w:szCs w:val="32"/>
          <w:highlight w:val="none"/>
          <w:lang w:val="en-US" w:eastAsia="zh-CN"/>
        </w:rPr>
        <w:t>2025</w:t>
      </w:r>
      <w:r>
        <w:rPr>
          <w:rFonts w:hint="default" w:ascii="Times New Roman" w:hAnsi="Times New Roman" w:eastAsia="楷体_GB2312" w:cs="Times New Roman"/>
          <w:b/>
          <w:color w:val="auto"/>
          <w:spacing w:val="-4"/>
          <w:sz w:val="32"/>
          <w:szCs w:val="32"/>
          <w:highlight w:val="none"/>
          <w:lang w:val="en-US" w:eastAsia="zh-CN"/>
        </w:rPr>
        <w:t>年度政府债券发行使用情况</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2025</w:t>
      </w:r>
      <w:r>
        <w:rPr>
          <w:rFonts w:hint="default" w:ascii="Times New Roman" w:hAnsi="Times New Roman" w:eastAsia="仿宋_GB2312" w:cs="Times New Roman"/>
          <w:color w:val="auto"/>
          <w:sz w:val="32"/>
          <w:szCs w:val="32"/>
          <w:highlight w:val="none"/>
          <w:lang w:val="en-US" w:eastAsia="zh-CN"/>
        </w:rPr>
        <w:t>年度</w:t>
      </w:r>
      <w:r>
        <w:rPr>
          <w:rFonts w:hint="eastAsia" w:eastAsia="仿宋_GB2312" w:cs="Times New Roman"/>
          <w:color w:val="auto"/>
          <w:sz w:val="32"/>
          <w:szCs w:val="32"/>
          <w:highlight w:val="none"/>
          <w:lang w:val="en-US" w:eastAsia="zh-CN"/>
        </w:rPr>
        <w:t>喀什</w:t>
      </w:r>
      <w:r>
        <w:rPr>
          <w:rFonts w:hint="default" w:ascii="Times New Roman" w:hAnsi="Times New Roman" w:eastAsia="仿宋_GB2312" w:cs="Times New Roman"/>
          <w:color w:val="auto"/>
          <w:sz w:val="32"/>
          <w:szCs w:val="32"/>
          <w:highlight w:val="none"/>
          <w:lang w:val="en-US" w:eastAsia="zh-CN"/>
        </w:rPr>
        <w:t>地区</w:t>
      </w:r>
      <w:r>
        <w:rPr>
          <w:rFonts w:hint="eastAsia" w:eastAsia="仿宋_GB2312" w:cs="Times New Roman"/>
          <w:color w:val="auto"/>
          <w:sz w:val="32"/>
          <w:szCs w:val="32"/>
          <w:highlight w:val="none"/>
          <w:lang w:val="en-US" w:eastAsia="zh-CN"/>
        </w:rPr>
        <w:t>泽普县</w:t>
      </w:r>
      <w:r>
        <w:rPr>
          <w:rFonts w:hint="default" w:ascii="Times New Roman" w:hAnsi="Times New Roman" w:eastAsia="仿宋_GB2312" w:cs="Times New Roman"/>
          <w:color w:val="auto"/>
          <w:sz w:val="32"/>
          <w:szCs w:val="32"/>
          <w:highlight w:val="none"/>
          <w:lang w:val="en-US" w:eastAsia="zh-CN"/>
        </w:rPr>
        <w:t>发行政府债券</w:t>
      </w:r>
      <w:r>
        <w:rPr>
          <w:rFonts w:hint="eastAsia" w:eastAsia="仿宋_GB2312" w:cs="Times New Roman"/>
          <w:color w:val="auto"/>
          <w:sz w:val="32"/>
          <w:szCs w:val="32"/>
          <w:highlight w:val="none"/>
          <w:lang w:val="en-US" w:eastAsia="zh-CN"/>
        </w:rPr>
        <w:t>2.07</w:t>
      </w:r>
      <w:r>
        <w:rPr>
          <w:rFonts w:hint="default" w:ascii="Times New Roman" w:hAnsi="Times New Roman" w:eastAsia="仿宋_GB2312" w:cs="Times New Roman"/>
          <w:color w:val="auto"/>
          <w:sz w:val="32"/>
          <w:szCs w:val="32"/>
          <w:highlight w:val="none"/>
          <w:lang w:val="en-US" w:eastAsia="zh-CN"/>
        </w:rPr>
        <w:t>亿元（新增债券</w:t>
      </w:r>
      <w:r>
        <w:rPr>
          <w:rFonts w:hint="eastAsia" w:eastAsia="仿宋_GB2312" w:cs="Times New Roman"/>
          <w:color w:val="auto"/>
          <w:sz w:val="32"/>
          <w:szCs w:val="32"/>
          <w:highlight w:val="none"/>
          <w:lang w:val="en-US" w:eastAsia="zh-CN"/>
        </w:rPr>
        <w:t>1.97</w:t>
      </w:r>
      <w:r>
        <w:rPr>
          <w:rFonts w:hint="default" w:ascii="Times New Roman" w:hAnsi="Times New Roman" w:eastAsia="仿宋_GB2312" w:cs="Times New Roman"/>
          <w:color w:val="auto"/>
          <w:sz w:val="32"/>
          <w:szCs w:val="32"/>
          <w:highlight w:val="none"/>
          <w:lang w:val="en-US" w:eastAsia="zh-CN"/>
        </w:rPr>
        <w:t>亿元、再融资债券</w:t>
      </w:r>
      <w:r>
        <w:rPr>
          <w:rFonts w:hint="eastAsia" w:eastAsia="仿宋_GB2312" w:cs="Times New Roman"/>
          <w:color w:val="auto"/>
          <w:sz w:val="32"/>
          <w:szCs w:val="32"/>
          <w:highlight w:val="none"/>
          <w:lang w:val="en-US" w:eastAsia="zh-CN"/>
        </w:rPr>
        <w:t>0.1</w:t>
      </w:r>
      <w:r>
        <w:rPr>
          <w:rFonts w:hint="default" w:ascii="Times New Roman" w:hAnsi="Times New Roman" w:eastAsia="仿宋_GB2312" w:cs="Times New Roman"/>
          <w:color w:val="auto"/>
          <w:sz w:val="32"/>
          <w:szCs w:val="32"/>
          <w:highlight w:val="none"/>
          <w:lang w:val="en-US" w:eastAsia="zh-CN"/>
        </w:rPr>
        <w:t>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（一）新增一般债券发行使用情况。</w:t>
      </w:r>
      <w:r>
        <w:rPr>
          <w:rFonts w:hint="default" w:ascii="Times New Roman" w:hAnsi="Times New Roman" w:eastAsia="仿宋_GB2312" w:cs="Times New Roman"/>
          <w:color w:val="auto"/>
          <w:sz w:val="32"/>
          <w:szCs w:val="32"/>
          <w:highlight w:val="none"/>
          <w:lang w:val="en-US" w:eastAsia="zh-CN"/>
        </w:rPr>
        <w:t>202</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年度</w:t>
      </w:r>
      <w:r>
        <w:rPr>
          <w:rFonts w:hint="eastAsia" w:eastAsia="仿宋_GB2312" w:cs="Times New Roman"/>
          <w:color w:val="auto"/>
          <w:sz w:val="32"/>
          <w:szCs w:val="32"/>
          <w:highlight w:val="none"/>
          <w:lang w:val="en-US" w:eastAsia="zh-CN"/>
        </w:rPr>
        <w:t>喀什</w:t>
      </w:r>
      <w:r>
        <w:rPr>
          <w:rFonts w:hint="default" w:ascii="Times New Roman" w:hAnsi="Times New Roman" w:eastAsia="仿宋_GB2312" w:cs="Times New Roman"/>
          <w:color w:val="auto"/>
          <w:sz w:val="32"/>
          <w:szCs w:val="32"/>
          <w:highlight w:val="none"/>
          <w:lang w:val="en-US" w:eastAsia="zh-CN"/>
        </w:rPr>
        <w:t>地区</w:t>
      </w:r>
      <w:r>
        <w:rPr>
          <w:rFonts w:hint="eastAsia" w:eastAsia="仿宋_GB2312" w:cs="Times New Roman"/>
          <w:color w:val="auto"/>
          <w:sz w:val="32"/>
          <w:szCs w:val="32"/>
          <w:highlight w:val="none"/>
          <w:lang w:val="en-US" w:eastAsia="zh-CN"/>
        </w:rPr>
        <w:t>泽普县</w:t>
      </w:r>
      <w:r>
        <w:rPr>
          <w:rFonts w:hint="default" w:ascii="Times New Roman" w:hAnsi="Times New Roman" w:eastAsia="仿宋_GB2312" w:cs="Times New Roman"/>
          <w:color w:val="auto"/>
          <w:sz w:val="32"/>
          <w:szCs w:val="32"/>
          <w:highlight w:val="none"/>
          <w:lang w:val="en-US" w:eastAsia="zh-CN"/>
        </w:rPr>
        <w:t>发行新增一般债券</w:t>
      </w:r>
      <w:r>
        <w:rPr>
          <w:rFonts w:hint="eastAsia" w:eastAsia="仿宋_GB2312" w:cs="Times New Roman"/>
          <w:color w:val="auto"/>
          <w:sz w:val="32"/>
          <w:szCs w:val="32"/>
          <w:highlight w:val="none"/>
          <w:lang w:val="en-US" w:eastAsia="zh-CN"/>
        </w:rPr>
        <w:t>0.6</w:t>
      </w:r>
      <w:r>
        <w:rPr>
          <w:rFonts w:hint="default" w:ascii="Times New Roman" w:hAnsi="Times New Roman" w:eastAsia="仿宋_GB2312" w:cs="Times New Roman"/>
          <w:color w:val="auto"/>
          <w:sz w:val="32"/>
          <w:szCs w:val="32"/>
          <w:highlight w:val="none"/>
          <w:lang w:val="en-US" w:eastAsia="zh-CN"/>
        </w:rPr>
        <w:t>亿元。上述债券资金主要用于交通、市政建设等方面</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债券期限分别是</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15、30</w:t>
      </w:r>
      <w:r>
        <w:rPr>
          <w:rFonts w:hint="default" w:ascii="Times New Roman" w:hAnsi="Times New Roman" w:eastAsia="仿宋_GB2312" w:cs="Times New Roman"/>
          <w:color w:val="auto"/>
          <w:sz w:val="32"/>
          <w:szCs w:val="32"/>
          <w:highlight w:val="none"/>
          <w:lang w:val="en-US" w:eastAsia="zh-CN"/>
        </w:rPr>
        <w:t>年期，债券平均利率为</w:t>
      </w:r>
      <w:r>
        <w:rPr>
          <w:rFonts w:hint="eastAsia" w:eastAsia="仿宋_GB2312" w:cs="Times New Roman"/>
          <w:color w:val="auto"/>
          <w:sz w:val="32"/>
          <w:szCs w:val="32"/>
          <w:highlight w:val="none"/>
          <w:lang w:val="en-US" w:eastAsia="zh-CN"/>
        </w:rPr>
        <w:t>1.97</w:t>
      </w:r>
      <w:r>
        <w:rPr>
          <w:rFonts w:hint="default" w:ascii="Times New Roman" w:hAnsi="Times New Roman" w:eastAsia="仿宋_GB2312" w:cs="Times New Roman"/>
          <w:color w:val="auto"/>
          <w:sz w:val="32"/>
          <w:szCs w:val="32"/>
          <w:highlight w:val="none"/>
          <w:lang w:val="en-US" w:eastAsia="zh-CN"/>
        </w:rPr>
        <w:t>%，债券还本付息通过一般公共预算收入偿还。</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（二）新增专项债券发行使用情况。</w:t>
      </w:r>
      <w:r>
        <w:rPr>
          <w:rFonts w:hint="default" w:ascii="Times New Roman" w:hAnsi="Times New Roman" w:eastAsia="仿宋_GB2312" w:cs="Times New Roman"/>
          <w:color w:val="auto"/>
          <w:sz w:val="32"/>
          <w:szCs w:val="32"/>
          <w:highlight w:val="none"/>
          <w:lang w:val="en-US" w:eastAsia="zh-CN"/>
        </w:rPr>
        <w:t>202</w:t>
      </w:r>
      <w:r>
        <w:rPr>
          <w:rFonts w:hint="eastAsia" w:eastAsia="仿宋_GB2312" w:cs="Times New Roman"/>
          <w:color w:val="auto"/>
          <w:sz w:val="32"/>
          <w:szCs w:val="32"/>
          <w:highlight w:val="none"/>
          <w:lang w:val="en-US" w:eastAsia="zh-CN"/>
        </w:rPr>
        <w:t>5年</w:t>
      </w:r>
      <w:r>
        <w:rPr>
          <w:rFonts w:hint="eastAsia" w:eastAsia="仿宋_GB2312" w:cs="Times New Roman"/>
          <w:color w:val="auto"/>
          <w:kern w:val="0"/>
          <w:sz w:val="32"/>
          <w:szCs w:val="32"/>
          <w:highlight w:val="none"/>
          <w:lang w:val="en-US" w:eastAsia="zh-CN" w:bidi="ar"/>
        </w:rPr>
        <w:t>喀什</w:t>
      </w:r>
      <w:r>
        <w:rPr>
          <w:rFonts w:hint="default" w:ascii="Times New Roman" w:hAnsi="Times New Roman" w:eastAsia="仿宋_GB2312" w:cs="Times New Roman"/>
          <w:color w:val="auto"/>
          <w:kern w:val="0"/>
          <w:sz w:val="32"/>
          <w:szCs w:val="32"/>
          <w:highlight w:val="none"/>
          <w:lang w:val="en-US" w:eastAsia="zh-CN" w:bidi="ar"/>
        </w:rPr>
        <w:t>地区</w:t>
      </w:r>
      <w:r>
        <w:rPr>
          <w:rFonts w:hint="eastAsia" w:eastAsia="仿宋_GB2312" w:cs="Times New Roman"/>
          <w:color w:val="auto"/>
          <w:kern w:val="0"/>
          <w:sz w:val="32"/>
          <w:szCs w:val="32"/>
          <w:highlight w:val="none"/>
          <w:lang w:val="en-US" w:eastAsia="zh-CN" w:bidi="ar"/>
        </w:rPr>
        <w:t>泽普县</w:t>
      </w:r>
      <w:r>
        <w:rPr>
          <w:rFonts w:hint="default" w:ascii="Times New Roman" w:hAnsi="Times New Roman" w:eastAsia="仿宋_GB2312" w:cs="Times New Roman"/>
          <w:color w:val="auto"/>
          <w:sz w:val="32"/>
          <w:szCs w:val="32"/>
          <w:highlight w:val="none"/>
          <w:lang w:val="en-US" w:eastAsia="zh-CN"/>
        </w:rPr>
        <w:t>发行新增专项债券</w:t>
      </w:r>
      <w:r>
        <w:rPr>
          <w:rFonts w:hint="eastAsia" w:eastAsia="仿宋_GB2312" w:cs="Times New Roman"/>
          <w:color w:val="auto"/>
          <w:sz w:val="32"/>
          <w:szCs w:val="32"/>
          <w:highlight w:val="none"/>
          <w:lang w:val="en-US" w:eastAsia="zh-CN"/>
        </w:rPr>
        <w:t>1.37</w:t>
      </w:r>
      <w:r>
        <w:rPr>
          <w:rFonts w:hint="default" w:ascii="Times New Roman" w:hAnsi="Times New Roman" w:eastAsia="仿宋_GB2312" w:cs="Times New Roman"/>
          <w:color w:val="auto"/>
          <w:sz w:val="32"/>
          <w:szCs w:val="32"/>
          <w:highlight w:val="none"/>
          <w:lang w:val="en-US" w:eastAsia="zh-CN"/>
        </w:rPr>
        <w:t>亿元。上述债券资金主要用于</w:t>
      </w:r>
      <w:r>
        <w:rPr>
          <w:rFonts w:hint="eastAsia" w:ascii="Times New Roman" w:hAnsi="Times New Roman" w:eastAsia="仿宋_GB2312" w:cs="Times New Roman"/>
          <w:color w:val="auto"/>
          <w:sz w:val="32"/>
          <w:szCs w:val="32"/>
          <w:highlight w:val="none"/>
          <w:lang w:val="en-US" w:eastAsia="zh-CN"/>
        </w:rPr>
        <w:t>供气基础设施提升改造</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保障性安</w:t>
      </w:r>
      <w:r>
        <w:rPr>
          <w:rFonts w:hint="default" w:ascii="Times New Roman" w:hAnsi="Times New Roman" w:eastAsia="仿宋_GB2312" w:cs="Times New Roman"/>
          <w:sz w:val="32"/>
          <w:szCs w:val="32"/>
          <w:highlight w:val="none"/>
          <w:lang w:val="en-US" w:eastAsia="zh-CN"/>
        </w:rPr>
        <w:t>居工程等重点领域。债券期限分别是</w:t>
      </w:r>
      <w:r>
        <w:rPr>
          <w:rFonts w:hint="eastAsia" w:eastAsia="仿宋_GB2312" w:cs="Times New Roman"/>
          <w:sz w:val="32"/>
          <w:szCs w:val="32"/>
          <w:highlight w:val="none"/>
          <w:lang w:val="en-US" w:eastAsia="zh-CN"/>
        </w:rPr>
        <w:t>10.15.20</w:t>
      </w:r>
      <w:r>
        <w:rPr>
          <w:rFonts w:hint="default" w:ascii="Times New Roman" w:hAnsi="Times New Roman" w:eastAsia="仿宋_GB2312" w:cs="Times New Roman"/>
          <w:sz w:val="32"/>
          <w:szCs w:val="32"/>
          <w:highlight w:val="none"/>
          <w:lang w:val="en-US" w:eastAsia="zh-CN"/>
        </w:rPr>
        <w:t>年期，债券平均利率为</w:t>
      </w:r>
      <w:r>
        <w:rPr>
          <w:rFonts w:hint="eastAsia" w:eastAsia="仿宋_GB2312" w:cs="Times New Roman"/>
          <w:sz w:val="32"/>
          <w:szCs w:val="32"/>
          <w:highlight w:val="none"/>
          <w:lang w:val="en-US" w:eastAsia="zh-CN"/>
        </w:rPr>
        <w:t>2.07</w:t>
      </w:r>
      <w:r>
        <w:rPr>
          <w:rFonts w:hint="default" w:ascii="Times New Roman" w:hAnsi="Times New Roman" w:eastAsia="仿宋_GB2312" w:cs="Times New Roman"/>
          <w:sz w:val="32"/>
          <w:szCs w:val="32"/>
          <w:highlight w:val="none"/>
          <w:lang w:val="en-US" w:eastAsia="zh-CN"/>
        </w:rPr>
        <w:t>%，债券还本付息通过对应项目取得的政府性基金或专项收入等偿还。</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（三）再融资债券发行使用情况。</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color w:val="000000"/>
          <w:kern w:val="0"/>
          <w:sz w:val="32"/>
          <w:szCs w:val="32"/>
          <w:highlight w:val="none"/>
          <w:lang w:val="en-US" w:eastAsia="zh-CN" w:bidi="ar"/>
        </w:rPr>
        <w:t>喀什</w:t>
      </w:r>
      <w:r>
        <w:rPr>
          <w:rFonts w:hint="default" w:ascii="Times New Roman" w:hAnsi="Times New Roman" w:eastAsia="仿宋_GB2312" w:cs="Times New Roman"/>
          <w:color w:val="000000"/>
          <w:kern w:val="0"/>
          <w:sz w:val="32"/>
          <w:szCs w:val="32"/>
          <w:highlight w:val="none"/>
          <w:lang w:val="en-US" w:eastAsia="zh-CN" w:bidi="ar"/>
        </w:rPr>
        <w:t>地区</w:t>
      </w:r>
      <w:r>
        <w:rPr>
          <w:rFonts w:hint="eastAsia" w:eastAsia="仿宋_GB2312" w:cs="Times New Roman"/>
          <w:color w:val="000000"/>
          <w:kern w:val="0"/>
          <w:sz w:val="32"/>
          <w:szCs w:val="32"/>
          <w:highlight w:val="none"/>
          <w:lang w:val="en-US" w:eastAsia="zh-CN" w:bidi="ar"/>
        </w:rPr>
        <w:t>泽普县</w:t>
      </w:r>
      <w:r>
        <w:rPr>
          <w:rFonts w:hint="default" w:ascii="Times New Roman" w:hAnsi="Times New Roman" w:eastAsia="仿宋_GB2312" w:cs="Times New Roman"/>
          <w:sz w:val="32"/>
          <w:szCs w:val="32"/>
          <w:highlight w:val="none"/>
          <w:lang w:val="en-US" w:eastAsia="zh-CN"/>
        </w:rPr>
        <w:t>发行再融资债券</w:t>
      </w:r>
      <w:r>
        <w:rPr>
          <w:rFonts w:hint="eastAsia" w:eastAsia="仿宋_GB2312" w:cs="Times New Roman"/>
          <w:sz w:val="32"/>
          <w:szCs w:val="32"/>
          <w:highlight w:val="none"/>
          <w:lang w:val="en-US" w:eastAsia="zh-CN"/>
        </w:rPr>
        <w:t>0.1</w:t>
      </w:r>
      <w:r>
        <w:rPr>
          <w:rFonts w:hint="default" w:ascii="Times New Roman" w:hAnsi="Times New Roman" w:eastAsia="仿宋_GB2312" w:cs="Times New Roman"/>
          <w:sz w:val="32"/>
          <w:szCs w:val="32"/>
          <w:highlight w:val="none"/>
          <w:lang w:val="en-US" w:eastAsia="zh-CN"/>
        </w:rPr>
        <w:t>亿元（再融资一般债券</w:t>
      </w:r>
      <w:r>
        <w:rPr>
          <w:rFonts w:hint="eastAsia" w:eastAsia="仿宋_GB2312" w:cs="Times New Roman"/>
          <w:sz w:val="32"/>
          <w:szCs w:val="32"/>
          <w:highlight w:val="none"/>
          <w:lang w:val="en-US" w:eastAsia="zh-CN"/>
        </w:rPr>
        <w:t>0.1</w:t>
      </w:r>
      <w:r>
        <w:rPr>
          <w:rFonts w:hint="default" w:ascii="Times New Roman" w:hAnsi="Times New Roman" w:eastAsia="仿宋_GB2312" w:cs="Times New Roman"/>
          <w:sz w:val="32"/>
          <w:szCs w:val="32"/>
          <w:highlight w:val="none"/>
          <w:lang w:val="en-US" w:eastAsia="zh-CN"/>
        </w:rPr>
        <w:t>亿元、再融资专项债券</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亿元）。上述债券资金全部用于偿还到期政府债券本金，债券期限是</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年期年期，债券平均利率为</w:t>
      </w:r>
      <w:r>
        <w:rPr>
          <w:rFonts w:hint="eastAsia" w:eastAsia="仿宋_GB2312" w:cs="Times New Roman"/>
          <w:sz w:val="32"/>
          <w:szCs w:val="32"/>
          <w:highlight w:val="none"/>
          <w:lang w:val="en-US" w:eastAsia="zh-CN"/>
        </w:rPr>
        <w:t>1.91</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四、</w:t>
      </w:r>
      <w:r>
        <w:rPr>
          <w:rFonts w:hint="eastAsia" w:eastAsia="楷体_GB2312" w:cs="Times New Roman"/>
          <w:b/>
          <w:spacing w:val="-4"/>
          <w:sz w:val="32"/>
          <w:szCs w:val="32"/>
          <w:highlight w:val="none"/>
          <w:lang w:val="en-US" w:eastAsia="zh-CN"/>
        </w:rPr>
        <w:t>2025</w:t>
      </w:r>
      <w:r>
        <w:rPr>
          <w:rFonts w:hint="default" w:ascii="Times New Roman" w:hAnsi="Times New Roman" w:eastAsia="楷体_GB2312" w:cs="Times New Roman"/>
          <w:b/>
          <w:spacing w:val="-4"/>
          <w:sz w:val="32"/>
          <w:szCs w:val="32"/>
          <w:highlight w:val="none"/>
          <w:lang w:val="en-US" w:eastAsia="zh-CN"/>
        </w:rPr>
        <w:t>年度政府债券还本付息情况</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color w:val="000000"/>
          <w:kern w:val="0"/>
          <w:sz w:val="32"/>
          <w:szCs w:val="32"/>
          <w:highlight w:val="none"/>
          <w:lang w:val="en-US" w:eastAsia="zh-CN" w:bidi="ar"/>
        </w:rPr>
        <w:t>喀什</w:t>
      </w:r>
      <w:r>
        <w:rPr>
          <w:rFonts w:hint="default" w:ascii="Times New Roman" w:hAnsi="Times New Roman" w:eastAsia="仿宋_GB2312" w:cs="Times New Roman"/>
          <w:sz w:val="32"/>
          <w:szCs w:val="32"/>
          <w:highlight w:val="none"/>
          <w:lang w:val="en-US" w:eastAsia="zh-CN"/>
        </w:rPr>
        <w:t>地区</w:t>
      </w:r>
      <w:r>
        <w:rPr>
          <w:rFonts w:hint="eastAsia" w:ascii="Times New Roman" w:hAnsi="Times New Roman" w:eastAsia="仿宋_GB2312" w:cs="Times New Roman"/>
          <w:sz w:val="32"/>
          <w:szCs w:val="32"/>
          <w:highlight w:val="none"/>
          <w:lang w:val="en-US" w:eastAsia="zh-CN"/>
        </w:rPr>
        <w:t>泽普县</w:t>
      </w:r>
      <w:r>
        <w:rPr>
          <w:rFonts w:hint="default" w:ascii="Times New Roman" w:hAnsi="Times New Roman" w:eastAsia="仿宋_GB2312" w:cs="Times New Roman"/>
          <w:sz w:val="32"/>
          <w:szCs w:val="32"/>
          <w:highlight w:val="none"/>
          <w:lang w:val="en-US" w:eastAsia="zh-CN"/>
        </w:rPr>
        <w:t>债券还本付息总额</w:t>
      </w:r>
      <w:r>
        <w:rPr>
          <w:rFonts w:hint="eastAsia" w:ascii="Times New Roman" w:hAnsi="Times New Roman" w:eastAsia="仿宋_GB2312" w:cs="Times New Roman"/>
          <w:sz w:val="32"/>
          <w:szCs w:val="32"/>
          <w:highlight w:val="none"/>
          <w:lang w:val="en-US" w:eastAsia="zh-CN"/>
        </w:rPr>
        <w:t>0.99</w:t>
      </w:r>
      <w:r>
        <w:rPr>
          <w:rFonts w:hint="default" w:ascii="Times New Roman" w:hAnsi="Times New Roman" w:eastAsia="仿宋_GB2312" w:cs="Times New Roman"/>
          <w:sz w:val="32"/>
          <w:szCs w:val="32"/>
          <w:highlight w:val="none"/>
          <w:lang w:val="en-US" w:eastAsia="zh-CN"/>
        </w:rPr>
        <w:t>亿元（本金</w:t>
      </w:r>
      <w:r>
        <w:rPr>
          <w:rFonts w:hint="eastAsia" w:eastAsia="仿宋_GB2312" w:cs="Times New Roman"/>
          <w:sz w:val="32"/>
          <w:szCs w:val="32"/>
          <w:highlight w:val="none"/>
          <w:lang w:val="en-US" w:eastAsia="zh-CN"/>
        </w:rPr>
        <w:t>0.03</w:t>
      </w:r>
      <w:r>
        <w:rPr>
          <w:rFonts w:hint="default" w:ascii="Times New Roman" w:hAnsi="Times New Roman" w:eastAsia="仿宋_GB2312" w:cs="Times New Roman"/>
          <w:sz w:val="32"/>
          <w:szCs w:val="32"/>
          <w:highlight w:val="none"/>
          <w:lang w:val="en-US" w:eastAsia="zh-CN"/>
        </w:rPr>
        <w:t>亿元，财政预算安排还本</w:t>
      </w:r>
      <w:r>
        <w:rPr>
          <w:rFonts w:hint="eastAsia" w:eastAsia="仿宋_GB2312" w:cs="Times New Roman"/>
          <w:sz w:val="32"/>
          <w:szCs w:val="32"/>
          <w:highlight w:val="none"/>
          <w:lang w:val="en-US" w:eastAsia="zh-CN"/>
        </w:rPr>
        <w:t>0.03</w:t>
      </w:r>
      <w:r>
        <w:rPr>
          <w:rFonts w:hint="default" w:ascii="Times New Roman" w:hAnsi="Times New Roman" w:eastAsia="仿宋_GB2312" w:cs="Times New Roman"/>
          <w:sz w:val="32"/>
          <w:szCs w:val="32"/>
          <w:highlight w:val="none"/>
          <w:lang w:val="en-US" w:eastAsia="zh-CN"/>
        </w:rPr>
        <w:t>亿元，再融资债券还本</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亿元；财政预算安排付息</w:t>
      </w:r>
      <w:r>
        <w:rPr>
          <w:rFonts w:hint="eastAsia" w:eastAsia="仿宋_GB2312" w:cs="Times New Roman"/>
          <w:sz w:val="32"/>
          <w:szCs w:val="32"/>
          <w:highlight w:val="none"/>
          <w:lang w:val="en-US" w:eastAsia="zh-CN"/>
        </w:rPr>
        <w:t>0.96</w:t>
      </w:r>
      <w:r>
        <w:rPr>
          <w:rFonts w:hint="default" w:ascii="Times New Roman" w:hAnsi="Times New Roman" w:eastAsia="仿宋_GB2312" w:cs="Times New Roman"/>
          <w:sz w:val="32"/>
          <w:szCs w:val="32"/>
          <w:highlight w:val="none"/>
          <w:lang w:val="en-US" w:eastAsia="zh-CN"/>
        </w:rPr>
        <w:t>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（一）一般债券还本付息情况。</w:t>
      </w: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color w:val="000000"/>
          <w:kern w:val="0"/>
          <w:sz w:val="32"/>
          <w:szCs w:val="32"/>
          <w:highlight w:val="none"/>
          <w:lang w:val="en-US" w:eastAsia="zh-CN" w:bidi="ar"/>
        </w:rPr>
        <w:t>喀什</w:t>
      </w:r>
      <w:r>
        <w:rPr>
          <w:rFonts w:hint="default" w:ascii="Times New Roman" w:hAnsi="Times New Roman" w:eastAsia="仿宋_GB2312" w:cs="Times New Roman"/>
          <w:color w:val="000000"/>
          <w:kern w:val="0"/>
          <w:sz w:val="32"/>
          <w:szCs w:val="32"/>
          <w:highlight w:val="none"/>
          <w:lang w:val="en-US" w:eastAsia="zh-CN" w:bidi="ar"/>
        </w:rPr>
        <w:t>地区</w:t>
      </w:r>
      <w:r>
        <w:rPr>
          <w:rFonts w:hint="eastAsia" w:eastAsia="仿宋_GB2312" w:cs="Times New Roman"/>
          <w:color w:val="000000"/>
          <w:kern w:val="0"/>
          <w:sz w:val="32"/>
          <w:szCs w:val="32"/>
          <w:highlight w:val="none"/>
          <w:lang w:val="en-US" w:eastAsia="zh-CN" w:bidi="ar"/>
        </w:rPr>
        <w:t>泽普县</w:t>
      </w:r>
      <w:r>
        <w:rPr>
          <w:rFonts w:hint="default" w:ascii="Times New Roman" w:hAnsi="Times New Roman" w:eastAsia="仿宋_GB2312" w:cs="Times New Roman"/>
          <w:sz w:val="32"/>
          <w:szCs w:val="32"/>
          <w:highlight w:val="none"/>
          <w:lang w:val="en-US" w:eastAsia="zh-CN"/>
        </w:rPr>
        <w:t>政府一般债券还本付息总额</w:t>
      </w:r>
      <w:r>
        <w:rPr>
          <w:rFonts w:hint="eastAsia" w:eastAsia="仿宋_GB2312" w:cs="Times New Roman"/>
          <w:sz w:val="32"/>
          <w:szCs w:val="32"/>
          <w:highlight w:val="none"/>
          <w:lang w:val="en-US" w:eastAsia="zh-CN"/>
        </w:rPr>
        <w:t>0.32</w:t>
      </w:r>
      <w:r>
        <w:rPr>
          <w:rFonts w:hint="default" w:ascii="Times New Roman" w:hAnsi="Times New Roman" w:eastAsia="仿宋_GB2312" w:cs="Times New Roman"/>
          <w:sz w:val="32"/>
          <w:szCs w:val="32"/>
          <w:highlight w:val="none"/>
          <w:lang w:val="en-US" w:eastAsia="zh-CN"/>
        </w:rPr>
        <w:t>亿元（本金</w:t>
      </w:r>
      <w:r>
        <w:rPr>
          <w:rFonts w:hint="eastAsia" w:eastAsia="仿宋_GB2312" w:cs="Times New Roman"/>
          <w:sz w:val="32"/>
          <w:szCs w:val="32"/>
          <w:highlight w:val="none"/>
          <w:lang w:val="en-US" w:eastAsia="zh-CN"/>
        </w:rPr>
        <w:t>0.03</w:t>
      </w:r>
      <w:r>
        <w:rPr>
          <w:rFonts w:hint="default" w:ascii="Times New Roman" w:hAnsi="Times New Roman" w:eastAsia="仿宋_GB2312" w:cs="Times New Roman"/>
          <w:sz w:val="32"/>
          <w:szCs w:val="32"/>
          <w:highlight w:val="none"/>
          <w:lang w:val="en-US" w:eastAsia="zh-CN"/>
        </w:rPr>
        <w:t>亿元，财政预算安排还本</w:t>
      </w:r>
      <w:r>
        <w:rPr>
          <w:rFonts w:hint="eastAsia" w:eastAsia="仿宋_GB2312" w:cs="Times New Roman"/>
          <w:sz w:val="32"/>
          <w:szCs w:val="32"/>
          <w:highlight w:val="none"/>
          <w:lang w:val="en-US" w:eastAsia="zh-CN"/>
        </w:rPr>
        <w:t>0.03</w:t>
      </w:r>
      <w:r>
        <w:rPr>
          <w:rFonts w:hint="default" w:ascii="Times New Roman" w:hAnsi="Times New Roman" w:eastAsia="仿宋_GB2312" w:cs="Times New Roman"/>
          <w:sz w:val="32"/>
          <w:szCs w:val="32"/>
          <w:highlight w:val="none"/>
          <w:lang w:val="en-US" w:eastAsia="zh-CN"/>
        </w:rPr>
        <w:t>亿元，再融资债券还本X</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亿元；财政预算安排付息</w:t>
      </w:r>
      <w:r>
        <w:rPr>
          <w:rFonts w:hint="eastAsia" w:eastAsia="仿宋_GB2312" w:cs="Times New Roman"/>
          <w:sz w:val="32"/>
          <w:szCs w:val="32"/>
          <w:highlight w:val="none"/>
          <w:lang w:val="en-US" w:eastAsia="zh-CN"/>
        </w:rPr>
        <w:t>0.29</w:t>
      </w:r>
      <w:r>
        <w:rPr>
          <w:rFonts w:hint="default" w:ascii="Times New Roman" w:hAnsi="Times New Roman" w:eastAsia="仿宋_GB2312" w:cs="Times New Roman"/>
          <w:sz w:val="32"/>
          <w:szCs w:val="32"/>
          <w:highlight w:val="none"/>
          <w:lang w:val="en-US" w:eastAsia="zh-CN"/>
        </w:rPr>
        <w:t>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（二）专项债券还本付息情况。</w:t>
      </w: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color w:val="000000"/>
          <w:kern w:val="0"/>
          <w:sz w:val="32"/>
          <w:szCs w:val="32"/>
          <w:highlight w:val="none"/>
          <w:lang w:val="en-US" w:eastAsia="zh-CN" w:bidi="ar"/>
        </w:rPr>
        <w:t>喀什</w:t>
      </w:r>
      <w:r>
        <w:rPr>
          <w:rFonts w:hint="default" w:ascii="Times New Roman" w:hAnsi="Times New Roman" w:eastAsia="仿宋_GB2312" w:cs="Times New Roman"/>
          <w:color w:val="000000"/>
          <w:kern w:val="0"/>
          <w:sz w:val="32"/>
          <w:szCs w:val="32"/>
          <w:highlight w:val="none"/>
          <w:lang w:val="en-US" w:eastAsia="zh-CN" w:bidi="ar"/>
        </w:rPr>
        <w:t>地区</w:t>
      </w:r>
      <w:r>
        <w:rPr>
          <w:rFonts w:hint="eastAsia" w:eastAsia="仿宋_GB2312" w:cs="Times New Roman"/>
          <w:color w:val="000000"/>
          <w:kern w:val="0"/>
          <w:sz w:val="32"/>
          <w:szCs w:val="32"/>
          <w:highlight w:val="none"/>
          <w:lang w:val="en-US" w:eastAsia="zh-CN" w:bidi="ar"/>
        </w:rPr>
        <w:t>泽普县</w:t>
      </w:r>
      <w:r>
        <w:rPr>
          <w:rFonts w:hint="default" w:ascii="Times New Roman" w:hAnsi="Times New Roman" w:eastAsia="仿宋_GB2312" w:cs="Times New Roman"/>
          <w:sz w:val="32"/>
          <w:szCs w:val="32"/>
          <w:highlight w:val="none"/>
          <w:lang w:val="en-US" w:eastAsia="zh-CN"/>
        </w:rPr>
        <w:t>政府专项债券还本付息总额</w:t>
      </w:r>
      <w:r>
        <w:rPr>
          <w:rFonts w:hint="eastAsia" w:eastAsia="仿宋_GB2312" w:cs="Times New Roman"/>
          <w:sz w:val="32"/>
          <w:szCs w:val="32"/>
          <w:highlight w:val="none"/>
          <w:lang w:val="en-US" w:eastAsia="zh-CN"/>
        </w:rPr>
        <w:t>0.67</w:t>
      </w:r>
      <w:r>
        <w:rPr>
          <w:rFonts w:hint="default" w:ascii="Times New Roman" w:hAnsi="Times New Roman" w:eastAsia="仿宋_GB2312" w:cs="Times New Roman"/>
          <w:sz w:val="32"/>
          <w:szCs w:val="32"/>
          <w:highlight w:val="none"/>
          <w:lang w:val="en-US" w:eastAsia="zh-CN"/>
        </w:rPr>
        <w:t>亿元（本金</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亿元，财政预算安排还本</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亿元，再融资债券还本</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亿元；财政预算安排付息</w:t>
      </w:r>
      <w:r>
        <w:rPr>
          <w:rFonts w:hint="eastAsia" w:eastAsia="仿宋_GB2312" w:cs="Times New Roman"/>
          <w:sz w:val="32"/>
          <w:szCs w:val="32"/>
          <w:highlight w:val="none"/>
          <w:lang w:val="en-US" w:eastAsia="zh-CN"/>
        </w:rPr>
        <w:t>0.67</w:t>
      </w:r>
      <w:r>
        <w:rPr>
          <w:rFonts w:hint="default" w:ascii="Times New Roman" w:hAnsi="Times New Roman" w:eastAsia="仿宋_GB2312" w:cs="Times New Roman"/>
          <w:sz w:val="32"/>
          <w:szCs w:val="32"/>
          <w:highlight w:val="none"/>
          <w:lang w:val="en-US" w:eastAsia="zh-CN"/>
        </w:rPr>
        <w:t>亿元）。</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eastAsia" w:ascii="Times New Roman" w:hAnsi="Times New Roman" w:eastAsia="楷体_GB2312" w:cs="Times New Roman"/>
          <w:b/>
          <w:spacing w:val="-4"/>
          <w:sz w:val="32"/>
          <w:szCs w:val="32"/>
          <w:highlight w:val="none"/>
          <w:lang w:val="en-US" w:eastAsia="zh-CN"/>
        </w:rPr>
      </w:pPr>
      <w:r>
        <w:rPr>
          <w:rFonts w:hint="eastAsia" w:ascii="Times New Roman" w:hAnsi="Times New Roman" w:eastAsia="楷体_GB2312" w:cs="Times New Roman"/>
          <w:b/>
          <w:spacing w:val="-4"/>
          <w:sz w:val="32"/>
          <w:szCs w:val="32"/>
          <w:highlight w:val="none"/>
          <w:lang w:val="en-US" w:eastAsia="zh-CN"/>
        </w:rPr>
        <w:t>五</w:t>
      </w:r>
      <w:r>
        <w:rPr>
          <w:rFonts w:hint="default" w:ascii="Times New Roman" w:hAnsi="Times New Roman" w:eastAsia="楷体_GB2312" w:cs="Times New Roman"/>
          <w:b/>
          <w:spacing w:val="-4"/>
          <w:sz w:val="32"/>
          <w:szCs w:val="32"/>
          <w:highlight w:val="none"/>
          <w:lang w:val="en-US" w:eastAsia="zh-CN"/>
        </w:rPr>
        <w:t>、</w:t>
      </w:r>
      <w:r>
        <w:rPr>
          <w:rFonts w:hint="eastAsia" w:eastAsia="楷体_GB2312" w:cs="Times New Roman"/>
          <w:b/>
          <w:spacing w:val="-4"/>
          <w:sz w:val="32"/>
          <w:szCs w:val="32"/>
          <w:highlight w:val="none"/>
          <w:lang w:val="en-US" w:eastAsia="zh-CN"/>
        </w:rPr>
        <w:t>2026</w:t>
      </w:r>
      <w:r>
        <w:rPr>
          <w:rFonts w:hint="default" w:ascii="Times New Roman" w:hAnsi="Times New Roman" w:eastAsia="楷体_GB2312" w:cs="Times New Roman"/>
          <w:b/>
          <w:spacing w:val="-4"/>
          <w:sz w:val="32"/>
          <w:szCs w:val="32"/>
          <w:highlight w:val="none"/>
          <w:lang w:val="en-US" w:eastAsia="zh-CN"/>
        </w:rPr>
        <w:t>年度政府债券还本付息情况</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2026</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喀什</w:t>
      </w:r>
      <w:r>
        <w:rPr>
          <w:rFonts w:hint="default" w:ascii="Times New Roman" w:hAnsi="Times New Roman" w:eastAsia="仿宋_GB2312" w:cs="Times New Roman"/>
          <w:sz w:val="32"/>
          <w:szCs w:val="32"/>
          <w:highlight w:val="none"/>
          <w:lang w:val="en-US" w:eastAsia="zh-CN"/>
        </w:rPr>
        <w:t>地区</w:t>
      </w:r>
      <w:r>
        <w:rPr>
          <w:rFonts w:hint="eastAsia" w:eastAsia="仿宋_GB2312" w:cs="Times New Roman"/>
          <w:sz w:val="32"/>
          <w:szCs w:val="32"/>
          <w:highlight w:val="none"/>
          <w:lang w:val="en-US" w:eastAsia="zh-CN"/>
        </w:rPr>
        <w:t>泽普县</w:t>
      </w:r>
      <w:r>
        <w:rPr>
          <w:rFonts w:hint="default" w:ascii="Times New Roman" w:hAnsi="Times New Roman" w:eastAsia="仿宋_GB2312" w:cs="Times New Roman"/>
          <w:sz w:val="32"/>
          <w:szCs w:val="32"/>
          <w:highlight w:val="none"/>
          <w:lang w:val="en-US" w:eastAsia="zh-CN"/>
        </w:rPr>
        <w:t>政府债券还本付息总额</w:t>
      </w:r>
      <w:r>
        <w:rPr>
          <w:rFonts w:hint="eastAsia" w:eastAsia="仿宋_GB2312" w:cs="Times New Roman"/>
          <w:sz w:val="32"/>
          <w:szCs w:val="32"/>
          <w:highlight w:val="none"/>
          <w:lang w:val="en-US" w:eastAsia="zh-CN"/>
        </w:rPr>
        <w:t>1.48</w:t>
      </w:r>
      <w:r>
        <w:rPr>
          <w:rFonts w:hint="default" w:ascii="Times New Roman" w:hAnsi="Times New Roman" w:eastAsia="仿宋_GB2312" w:cs="Times New Roman"/>
          <w:sz w:val="32"/>
          <w:szCs w:val="32"/>
          <w:highlight w:val="none"/>
          <w:lang w:val="en-US" w:eastAsia="zh-CN"/>
        </w:rPr>
        <w:t>亿元（本金</w:t>
      </w:r>
      <w:r>
        <w:rPr>
          <w:rFonts w:hint="eastAsia" w:eastAsia="仿宋_GB2312" w:cs="Times New Roman"/>
          <w:sz w:val="32"/>
          <w:szCs w:val="32"/>
          <w:highlight w:val="none"/>
          <w:lang w:val="en-US" w:eastAsia="zh-CN"/>
        </w:rPr>
        <w:t>0.51</w:t>
      </w:r>
      <w:r>
        <w:rPr>
          <w:rFonts w:hint="default" w:ascii="Times New Roman" w:hAnsi="Times New Roman" w:eastAsia="仿宋_GB2312" w:cs="Times New Roman"/>
          <w:sz w:val="32"/>
          <w:szCs w:val="32"/>
          <w:highlight w:val="none"/>
          <w:lang w:val="en-US" w:eastAsia="zh-CN"/>
        </w:rPr>
        <w:t>亿元，财政预算安排还本</w:t>
      </w:r>
      <w:r>
        <w:rPr>
          <w:rFonts w:hint="eastAsia" w:eastAsia="仿宋_GB2312" w:cs="Times New Roman"/>
          <w:sz w:val="32"/>
          <w:szCs w:val="32"/>
          <w:highlight w:val="none"/>
          <w:lang w:val="en-US" w:eastAsia="zh-CN"/>
        </w:rPr>
        <w:t>0.06</w:t>
      </w:r>
      <w:r>
        <w:rPr>
          <w:rFonts w:hint="default" w:ascii="Times New Roman" w:hAnsi="Times New Roman" w:eastAsia="仿宋_GB2312" w:cs="Times New Roman"/>
          <w:sz w:val="32"/>
          <w:szCs w:val="32"/>
          <w:highlight w:val="none"/>
          <w:lang w:val="en-US" w:eastAsia="zh-CN"/>
        </w:rPr>
        <w:t>亿元，再融资债券还本</w:t>
      </w:r>
      <w:r>
        <w:rPr>
          <w:rFonts w:hint="eastAsia" w:eastAsia="仿宋_GB2312" w:cs="Times New Roman"/>
          <w:sz w:val="32"/>
          <w:szCs w:val="32"/>
          <w:highlight w:val="none"/>
          <w:lang w:val="en-US" w:eastAsia="zh-CN"/>
        </w:rPr>
        <w:t>0.45</w:t>
      </w:r>
      <w:r>
        <w:rPr>
          <w:rFonts w:hint="default" w:ascii="Times New Roman" w:hAnsi="Times New Roman" w:eastAsia="仿宋_GB2312" w:cs="Times New Roman"/>
          <w:sz w:val="32"/>
          <w:szCs w:val="32"/>
          <w:highlight w:val="none"/>
          <w:lang w:val="en-US" w:eastAsia="zh-CN"/>
        </w:rPr>
        <w:t>亿元；财政预算安排付息</w:t>
      </w:r>
      <w:r>
        <w:rPr>
          <w:rFonts w:hint="eastAsia" w:eastAsia="仿宋_GB2312" w:cs="Times New Roman"/>
          <w:sz w:val="32"/>
          <w:szCs w:val="32"/>
          <w:highlight w:val="none"/>
          <w:lang w:val="en-US" w:eastAsia="zh-CN"/>
        </w:rPr>
        <w:t>0.97</w:t>
      </w:r>
      <w:r>
        <w:rPr>
          <w:rFonts w:hint="default" w:ascii="Times New Roman" w:hAnsi="Times New Roman" w:eastAsia="仿宋_GB2312" w:cs="Times New Roman"/>
          <w:sz w:val="32"/>
          <w:szCs w:val="32"/>
          <w:highlight w:val="none"/>
          <w:lang w:val="en-US" w:eastAsia="zh-CN"/>
        </w:rPr>
        <w:t>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（一）一般债券还本付息情况。</w:t>
      </w:r>
      <w:r>
        <w:rPr>
          <w:rFonts w:hint="eastAsia" w:eastAsia="仿宋_GB2312" w:cs="Times New Roman"/>
          <w:sz w:val="32"/>
          <w:szCs w:val="32"/>
          <w:highlight w:val="none"/>
          <w:lang w:val="en-US" w:eastAsia="zh-CN"/>
        </w:rPr>
        <w:t>2026</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color w:val="000000"/>
          <w:kern w:val="0"/>
          <w:sz w:val="32"/>
          <w:szCs w:val="32"/>
          <w:highlight w:val="none"/>
          <w:lang w:val="en-US" w:eastAsia="zh-CN" w:bidi="ar"/>
        </w:rPr>
        <w:t>喀什</w:t>
      </w:r>
      <w:r>
        <w:rPr>
          <w:rFonts w:hint="default" w:ascii="Times New Roman" w:hAnsi="Times New Roman" w:eastAsia="仿宋_GB2312" w:cs="Times New Roman"/>
          <w:color w:val="000000"/>
          <w:kern w:val="0"/>
          <w:sz w:val="32"/>
          <w:szCs w:val="32"/>
          <w:highlight w:val="none"/>
          <w:lang w:val="en-US" w:eastAsia="zh-CN" w:bidi="ar"/>
        </w:rPr>
        <w:t>地区</w:t>
      </w:r>
      <w:r>
        <w:rPr>
          <w:rFonts w:hint="eastAsia" w:eastAsia="仿宋_GB2312" w:cs="Times New Roman"/>
          <w:color w:val="000000"/>
          <w:kern w:val="0"/>
          <w:sz w:val="32"/>
          <w:szCs w:val="32"/>
          <w:highlight w:val="none"/>
          <w:lang w:val="en-US" w:eastAsia="zh-CN" w:bidi="ar"/>
        </w:rPr>
        <w:t>泽普县</w:t>
      </w:r>
      <w:r>
        <w:rPr>
          <w:rFonts w:hint="default" w:ascii="Times New Roman" w:hAnsi="Times New Roman" w:eastAsia="仿宋_GB2312" w:cs="Times New Roman"/>
          <w:sz w:val="32"/>
          <w:szCs w:val="32"/>
          <w:highlight w:val="none"/>
          <w:lang w:val="en-US" w:eastAsia="zh-CN"/>
        </w:rPr>
        <w:t>政府一般债券还本付息总额</w:t>
      </w:r>
      <w:r>
        <w:rPr>
          <w:rFonts w:hint="eastAsia" w:eastAsia="仿宋_GB2312" w:cs="Times New Roman"/>
          <w:sz w:val="32"/>
          <w:szCs w:val="32"/>
          <w:highlight w:val="none"/>
          <w:lang w:val="en-US" w:eastAsia="zh-CN"/>
        </w:rPr>
        <w:t>0.78</w:t>
      </w:r>
      <w:r>
        <w:rPr>
          <w:rFonts w:hint="default" w:ascii="Times New Roman" w:hAnsi="Times New Roman" w:eastAsia="仿宋_GB2312" w:cs="Times New Roman"/>
          <w:sz w:val="32"/>
          <w:szCs w:val="32"/>
          <w:highlight w:val="none"/>
          <w:lang w:val="en-US" w:eastAsia="zh-CN"/>
        </w:rPr>
        <w:t>亿元（本金</w:t>
      </w:r>
      <w:r>
        <w:rPr>
          <w:rFonts w:hint="eastAsia" w:eastAsia="仿宋_GB2312" w:cs="Times New Roman"/>
          <w:sz w:val="32"/>
          <w:szCs w:val="32"/>
          <w:highlight w:val="none"/>
          <w:lang w:val="en-US" w:eastAsia="zh-CN"/>
        </w:rPr>
        <w:t>0.51</w:t>
      </w:r>
      <w:r>
        <w:rPr>
          <w:rFonts w:hint="default" w:ascii="Times New Roman" w:hAnsi="Times New Roman" w:eastAsia="仿宋_GB2312" w:cs="Times New Roman"/>
          <w:sz w:val="32"/>
          <w:szCs w:val="32"/>
          <w:highlight w:val="none"/>
          <w:lang w:val="en-US" w:eastAsia="zh-CN"/>
        </w:rPr>
        <w:t>亿元，财政预算安排还本</w:t>
      </w:r>
      <w:r>
        <w:rPr>
          <w:rFonts w:hint="eastAsia" w:eastAsia="仿宋_GB2312" w:cs="Times New Roman"/>
          <w:sz w:val="32"/>
          <w:szCs w:val="32"/>
          <w:highlight w:val="none"/>
          <w:lang w:val="en-US" w:eastAsia="zh-CN"/>
        </w:rPr>
        <w:t>0.06</w:t>
      </w:r>
      <w:r>
        <w:rPr>
          <w:rFonts w:hint="default" w:ascii="Times New Roman" w:hAnsi="Times New Roman" w:eastAsia="仿宋_GB2312" w:cs="Times New Roman"/>
          <w:sz w:val="32"/>
          <w:szCs w:val="32"/>
          <w:highlight w:val="none"/>
          <w:lang w:val="en-US" w:eastAsia="zh-CN"/>
        </w:rPr>
        <w:t>亿元，再融资债券还本</w:t>
      </w:r>
      <w:r>
        <w:rPr>
          <w:rFonts w:hint="eastAsia" w:eastAsia="仿宋_GB2312" w:cs="Times New Roman"/>
          <w:sz w:val="32"/>
          <w:szCs w:val="32"/>
          <w:highlight w:val="none"/>
          <w:lang w:val="en-US" w:eastAsia="zh-CN"/>
        </w:rPr>
        <w:t>0.45</w:t>
      </w:r>
      <w:r>
        <w:rPr>
          <w:rFonts w:hint="default" w:ascii="Times New Roman" w:hAnsi="Times New Roman" w:eastAsia="仿宋_GB2312" w:cs="Times New Roman"/>
          <w:sz w:val="32"/>
          <w:szCs w:val="32"/>
          <w:highlight w:val="none"/>
          <w:lang w:val="en-US" w:eastAsia="zh-CN"/>
        </w:rPr>
        <w:t>亿元；财政预算安排付息</w:t>
      </w:r>
      <w:r>
        <w:rPr>
          <w:rFonts w:hint="eastAsia" w:eastAsia="仿宋_GB2312" w:cs="Times New Roman"/>
          <w:sz w:val="32"/>
          <w:szCs w:val="32"/>
          <w:highlight w:val="none"/>
          <w:lang w:val="en-US" w:eastAsia="zh-CN"/>
        </w:rPr>
        <w:t>0.27</w:t>
      </w:r>
      <w:r>
        <w:rPr>
          <w:rFonts w:hint="default" w:ascii="Times New Roman" w:hAnsi="Times New Roman" w:eastAsia="仿宋_GB2312" w:cs="Times New Roman"/>
          <w:sz w:val="32"/>
          <w:szCs w:val="32"/>
          <w:highlight w:val="none"/>
          <w:lang w:val="en-US" w:eastAsia="zh-CN"/>
        </w:rPr>
        <w:t>亿元）。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（二）专项债券还本付息情况。</w:t>
      </w:r>
      <w:r>
        <w:rPr>
          <w:rFonts w:hint="eastAsia" w:eastAsia="仿宋_GB2312" w:cs="Times New Roman"/>
          <w:sz w:val="32"/>
          <w:szCs w:val="32"/>
          <w:highlight w:val="none"/>
          <w:lang w:val="en-US" w:eastAsia="zh-CN"/>
        </w:rPr>
        <w:t>2026</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color w:val="000000"/>
          <w:kern w:val="0"/>
          <w:sz w:val="32"/>
          <w:szCs w:val="32"/>
          <w:highlight w:val="none"/>
          <w:lang w:val="en-US" w:eastAsia="zh-CN" w:bidi="ar"/>
        </w:rPr>
        <w:t>喀什</w:t>
      </w:r>
      <w:r>
        <w:rPr>
          <w:rFonts w:hint="default" w:ascii="Times New Roman" w:hAnsi="Times New Roman" w:eastAsia="仿宋_GB2312" w:cs="Times New Roman"/>
          <w:color w:val="000000"/>
          <w:kern w:val="0"/>
          <w:sz w:val="32"/>
          <w:szCs w:val="32"/>
          <w:highlight w:val="none"/>
          <w:lang w:val="en-US" w:eastAsia="zh-CN" w:bidi="ar"/>
        </w:rPr>
        <w:t>地区</w:t>
      </w:r>
      <w:r>
        <w:rPr>
          <w:rFonts w:hint="eastAsia" w:eastAsia="仿宋_GB2312" w:cs="Times New Roman"/>
          <w:color w:val="000000"/>
          <w:kern w:val="0"/>
          <w:sz w:val="32"/>
          <w:szCs w:val="32"/>
          <w:highlight w:val="none"/>
          <w:lang w:val="en-US" w:eastAsia="zh-CN" w:bidi="ar"/>
        </w:rPr>
        <w:t>泽普县</w:t>
      </w:r>
      <w:r>
        <w:rPr>
          <w:rFonts w:hint="default" w:ascii="Times New Roman" w:hAnsi="Times New Roman" w:eastAsia="仿宋_GB2312" w:cs="Times New Roman"/>
          <w:sz w:val="32"/>
          <w:szCs w:val="32"/>
          <w:highlight w:val="none"/>
          <w:lang w:val="en-US" w:eastAsia="zh-CN"/>
        </w:rPr>
        <w:t>政府专项债券还本付息总额</w:t>
      </w:r>
      <w:r>
        <w:rPr>
          <w:rFonts w:hint="eastAsia" w:eastAsia="仿宋_GB2312" w:cs="Times New Roman"/>
          <w:sz w:val="32"/>
          <w:szCs w:val="32"/>
          <w:highlight w:val="none"/>
          <w:lang w:val="en-US" w:eastAsia="zh-CN"/>
        </w:rPr>
        <w:t>0.7</w:t>
      </w:r>
      <w:r>
        <w:rPr>
          <w:rFonts w:hint="default" w:ascii="Times New Roman" w:hAnsi="Times New Roman" w:eastAsia="仿宋_GB2312" w:cs="Times New Roman"/>
          <w:sz w:val="32"/>
          <w:szCs w:val="32"/>
          <w:highlight w:val="none"/>
          <w:lang w:val="en-US" w:eastAsia="zh-CN"/>
        </w:rPr>
        <w:t>亿元（本金</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亿元，财政预算安排还本</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亿元，再融资债券还本</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亿元；财政预算安排付息</w:t>
      </w:r>
      <w:r>
        <w:rPr>
          <w:rFonts w:hint="eastAsia" w:eastAsia="仿宋_GB2312" w:cs="Times New Roman"/>
          <w:sz w:val="32"/>
          <w:szCs w:val="32"/>
          <w:highlight w:val="none"/>
          <w:lang w:val="en-US" w:eastAsia="zh-CN"/>
        </w:rPr>
        <w:t>0.7</w:t>
      </w:r>
      <w:r>
        <w:rPr>
          <w:rFonts w:hint="default" w:ascii="Times New Roman" w:hAnsi="Times New Roman" w:eastAsia="仿宋_GB2312" w:cs="Times New Roman"/>
          <w:sz w:val="32"/>
          <w:szCs w:val="32"/>
          <w:highlight w:val="none"/>
          <w:lang w:val="en-US" w:eastAsia="zh-CN"/>
        </w:rPr>
        <w:t>亿元）。</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eastAsia" w:ascii="Times New Roman" w:hAnsi="Times New Roman" w:eastAsia="楷体_GB2312" w:cs="Times New Roman"/>
          <w:b/>
          <w:spacing w:val="-4"/>
          <w:sz w:val="32"/>
          <w:szCs w:val="32"/>
          <w:highlight w:val="none"/>
          <w:lang w:val="en-US" w:eastAsia="zh-CN"/>
        </w:rPr>
      </w:pPr>
      <w:r>
        <w:rPr>
          <w:rFonts w:hint="eastAsia" w:ascii="Times New Roman" w:hAnsi="Times New Roman" w:eastAsia="楷体_GB2312" w:cs="Times New Roman"/>
          <w:b/>
          <w:spacing w:val="-4"/>
          <w:sz w:val="32"/>
          <w:szCs w:val="32"/>
          <w:highlight w:val="none"/>
          <w:lang w:val="en-US" w:eastAsia="zh-CN"/>
        </w:rPr>
        <w:t>六、2025年度本级政府专项债务情况。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Hans"/>
        </w:rPr>
      </w:pPr>
      <w:r>
        <w:rPr>
          <w:rFonts w:hint="eastAsia" w:ascii="Times New Roman" w:hAnsi="Times New Roman"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年度</w:t>
      </w:r>
      <w:r>
        <w:rPr>
          <w:rFonts w:hint="eastAsia" w:ascii="Times New Roman" w:hAnsi="Times New Roman" w:eastAsia="仿宋_GB2312" w:cs="Times New Roman"/>
          <w:sz w:val="32"/>
          <w:szCs w:val="32"/>
          <w:highlight w:val="none"/>
          <w:lang w:val="en-US" w:eastAsia="zh-CN"/>
        </w:rPr>
        <w:t>喀什</w:t>
      </w:r>
      <w:r>
        <w:rPr>
          <w:rFonts w:hint="default" w:ascii="Times New Roman" w:hAnsi="Times New Roman" w:eastAsia="仿宋_GB2312" w:cs="Times New Roman"/>
          <w:sz w:val="32"/>
          <w:szCs w:val="32"/>
          <w:highlight w:val="none"/>
          <w:lang w:val="en-US" w:eastAsia="zh-CN"/>
        </w:rPr>
        <w:t>地区</w:t>
      </w:r>
      <w:r>
        <w:rPr>
          <w:rFonts w:hint="eastAsia" w:ascii="Times New Roman" w:hAnsi="Times New Roman" w:eastAsia="仿宋_GB2312" w:cs="Times New Roman"/>
          <w:sz w:val="32"/>
          <w:szCs w:val="32"/>
          <w:highlight w:val="none"/>
          <w:lang w:val="en-US" w:eastAsia="zh-CN"/>
        </w:rPr>
        <w:t>泽普县本级</w:t>
      </w:r>
      <w:r>
        <w:rPr>
          <w:rFonts w:hint="default" w:ascii="Times New Roman" w:hAnsi="Times New Roman" w:eastAsia="仿宋_GB2312" w:cs="Times New Roman"/>
          <w:sz w:val="32"/>
          <w:szCs w:val="32"/>
          <w:highlight w:val="none"/>
          <w:lang w:val="en-US" w:eastAsia="zh-CN"/>
        </w:rPr>
        <w:t>政府专项债券收入</w:t>
      </w:r>
      <w:r>
        <w:rPr>
          <w:rFonts w:hint="eastAsia" w:ascii="Times New Roman" w:hAnsi="Times New Roman" w:eastAsia="仿宋_GB2312" w:cs="Times New Roman"/>
          <w:sz w:val="32"/>
          <w:szCs w:val="32"/>
          <w:highlight w:val="none"/>
          <w:lang w:val="en-US" w:eastAsia="zh-CN"/>
        </w:rPr>
        <w:t>1.37</w:t>
      </w:r>
      <w:r>
        <w:rPr>
          <w:rFonts w:hint="default" w:ascii="Times New Roman" w:hAnsi="Times New Roman" w:eastAsia="仿宋_GB2312" w:cs="Times New Roman"/>
          <w:sz w:val="32"/>
          <w:szCs w:val="32"/>
          <w:highlight w:val="none"/>
          <w:lang w:val="en-US" w:eastAsia="zh-CN"/>
        </w:rPr>
        <w:t>亿元、支出</w:t>
      </w:r>
      <w:r>
        <w:rPr>
          <w:rFonts w:hint="eastAsia" w:ascii="Times New Roman" w:hAnsi="Times New Roman" w:eastAsia="仿宋_GB2312" w:cs="Times New Roman"/>
          <w:sz w:val="32"/>
          <w:szCs w:val="32"/>
          <w:highlight w:val="none"/>
          <w:lang w:val="en-US" w:eastAsia="zh-CN"/>
        </w:rPr>
        <w:t>1.24</w:t>
      </w:r>
      <w:r>
        <w:rPr>
          <w:rFonts w:hint="default" w:ascii="Times New Roman" w:hAnsi="Times New Roman" w:eastAsia="仿宋_GB2312" w:cs="Times New Roman"/>
          <w:sz w:val="32"/>
          <w:szCs w:val="32"/>
          <w:highlight w:val="none"/>
          <w:lang w:val="en-US" w:eastAsia="zh-CN"/>
        </w:rPr>
        <w:t>亿元、还本付息</w:t>
      </w:r>
      <w:r>
        <w:rPr>
          <w:rFonts w:hint="eastAsia" w:ascii="Times New Roman" w:hAnsi="Times New Roman" w:eastAsia="仿宋_GB2312" w:cs="Times New Roman"/>
          <w:sz w:val="32"/>
          <w:szCs w:val="32"/>
          <w:highlight w:val="none"/>
          <w:lang w:val="en-US" w:eastAsia="zh-CN"/>
        </w:rPr>
        <w:t>0.67</w:t>
      </w:r>
      <w:r>
        <w:rPr>
          <w:rFonts w:hint="default" w:ascii="Times New Roman" w:hAnsi="Times New Roman" w:eastAsia="仿宋_GB2312" w:cs="Times New Roman"/>
          <w:sz w:val="32"/>
          <w:szCs w:val="32"/>
          <w:highlight w:val="none"/>
          <w:lang w:val="en-US" w:eastAsia="zh-CN"/>
        </w:rPr>
        <w:t>亿元，专项债券项目对应专项收入共计</w:t>
      </w:r>
      <w:r>
        <w:rPr>
          <w:rFonts w:hint="eastAsia" w:ascii="Times New Roman" w:hAnsi="Times New Roman" w:eastAsia="仿宋_GB2312" w:cs="Times New Roman"/>
          <w:sz w:val="32"/>
          <w:szCs w:val="32"/>
          <w:highlight w:val="none"/>
          <w:lang w:val="en-US" w:eastAsia="zh-CN"/>
        </w:rPr>
        <w:t>0.67</w:t>
      </w:r>
      <w:r>
        <w:rPr>
          <w:rFonts w:hint="default" w:ascii="Times New Roman" w:hAnsi="Times New Roman" w:eastAsia="仿宋_GB2312" w:cs="Times New Roman"/>
          <w:sz w:val="32"/>
          <w:szCs w:val="32"/>
          <w:highlight w:val="none"/>
          <w:lang w:val="en-US" w:eastAsia="zh-CN"/>
        </w:rPr>
        <w:t>亿元。上述债券资金主要用于交通、能源、农林水利、生态环保、社会事业、城乡冷链物流基础设施、市政和产业园区基础设施、保障性安居工程等重点领域有一定收益的公益性政府投资项目建设。债券期限分别是</w:t>
      </w:r>
      <w:r>
        <w:rPr>
          <w:rFonts w:hint="eastAsia" w:ascii="Times New Roman" w:hAnsi="Times New Roman" w:eastAsia="仿宋_GB2312" w:cs="Times New Roman"/>
          <w:sz w:val="32"/>
          <w:szCs w:val="32"/>
          <w:highlight w:val="none"/>
          <w:lang w:val="en-US" w:eastAsia="zh-CN"/>
        </w:rPr>
        <w:t>15、20、30</w:t>
      </w:r>
      <w:r>
        <w:rPr>
          <w:rFonts w:hint="default" w:ascii="Times New Roman" w:hAnsi="Times New Roman" w:eastAsia="仿宋_GB2312" w:cs="Times New Roman"/>
          <w:sz w:val="32"/>
          <w:szCs w:val="32"/>
          <w:highlight w:val="none"/>
          <w:lang w:val="en-US" w:eastAsia="zh-CN"/>
        </w:rPr>
        <w:t>年期，债券</w:t>
      </w:r>
      <w:r>
        <w:rPr>
          <w:rFonts w:hint="eastAsia" w:ascii="Times New Roman" w:hAnsi="Times New Roman" w:eastAsia="仿宋_GB2312" w:cs="Times New Roman"/>
          <w:sz w:val="32"/>
          <w:szCs w:val="32"/>
          <w:highlight w:val="none"/>
          <w:lang w:val="en-US" w:eastAsia="zh-CN"/>
        </w:rPr>
        <w:t>平均</w:t>
      </w:r>
      <w:r>
        <w:rPr>
          <w:rFonts w:hint="default" w:ascii="Times New Roman" w:hAnsi="Times New Roman" w:eastAsia="仿宋_GB2312" w:cs="Times New Roman"/>
          <w:sz w:val="32"/>
          <w:szCs w:val="32"/>
          <w:highlight w:val="none"/>
          <w:lang w:val="en-US" w:eastAsia="zh-CN"/>
        </w:rPr>
        <w:t>利率</w:t>
      </w:r>
      <w:r>
        <w:rPr>
          <w:rFonts w:hint="eastAsia" w:ascii="Times New Roman" w:hAnsi="Times New Roman" w:eastAsia="仿宋_GB2312" w:cs="Times New Roman"/>
          <w:sz w:val="32"/>
          <w:szCs w:val="32"/>
          <w:highlight w:val="none"/>
          <w:lang w:val="en-US" w:eastAsia="zh-CN"/>
        </w:rPr>
        <w:t>为2.07</w:t>
      </w:r>
      <w:r>
        <w:rPr>
          <w:rFonts w:hint="default" w:ascii="Times New Roman" w:hAnsi="Times New Roman" w:eastAsia="仿宋_GB2312" w:cs="Times New Roman"/>
          <w:sz w:val="32"/>
          <w:szCs w:val="32"/>
          <w:highlight w:val="none"/>
          <w:lang w:val="en-US" w:eastAsia="zh-CN"/>
        </w:rPr>
        <w:t>%，债券还本付息资金已足额列入年初财政预算</w:t>
      </w:r>
      <w:r>
        <w:rPr>
          <w:rFonts w:hint="eastAsia" w:ascii="Times New Roman" w:hAnsi="Times New Roman" w:eastAsia="仿宋_GB2312" w:cs="Times New Roman"/>
          <w:sz w:val="32"/>
          <w:szCs w:val="32"/>
          <w:highlight w:val="none"/>
          <w:lang w:val="en-US" w:eastAsia="zh-CN"/>
        </w:rPr>
        <w:t>，对应项目取得的政府性基金或专项收入等偿还</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pStyle w:val="2"/>
        <w:rPr>
          <w:rFonts w:hint="default"/>
          <w:lang w:val="en-US" w:eastAsia="zh-Hans"/>
        </w:rPr>
      </w:pPr>
    </w:p>
    <w:p>
      <w:pPr>
        <w:rPr>
          <w:rFonts w:hint="default"/>
          <w:lang w:val="en-US" w:eastAsia="zh-Hans"/>
        </w:rPr>
      </w:pPr>
    </w:p>
    <w:p>
      <w:pPr>
        <w:widowControl w:val="0"/>
        <w:numPr>
          <w:ilvl w:val="0"/>
          <w:numId w:val="3"/>
        </w:numPr>
        <w:spacing w:line="600" w:lineRule="exact"/>
        <w:ind w:firstLine="640" w:firstLineChars="200"/>
        <w:jc w:val="both"/>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财政衔接推进乡村振兴补助资金公开情况说明</w:t>
      </w:r>
    </w:p>
    <w:p>
      <w:pPr>
        <w:pStyle w:val="2"/>
        <w:numPr>
          <w:ilvl w:val="0"/>
          <w:numId w:val="0"/>
        </w:numPr>
        <w:rPr>
          <w:rFonts w:hint="eastAsia"/>
          <w:lang w:val="en-US" w:eastAsia="zh-CN"/>
        </w:rPr>
      </w:pP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Hans"/>
        </w:rPr>
      </w:pPr>
      <w:r>
        <w:rPr>
          <w:rFonts w:hint="default" w:ascii="Times New Roman" w:hAnsi="Times New Roman" w:eastAsia="楷体_GB2312" w:cs="Times New Roman"/>
          <w:b/>
          <w:spacing w:val="-4"/>
          <w:sz w:val="32"/>
          <w:szCs w:val="32"/>
          <w:highlight w:val="none"/>
          <w:lang w:val="en-US" w:eastAsia="zh-Hans"/>
        </w:rPr>
        <w:t>一、财政衔接推进乡村振兴补助资金安排分配情况。</w:t>
      </w:r>
    </w:p>
    <w:tbl>
      <w:tblPr>
        <w:tblStyle w:val="8"/>
        <w:tblW w:w="112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7"/>
        <w:gridCol w:w="695"/>
        <w:gridCol w:w="548"/>
        <w:gridCol w:w="548"/>
        <w:gridCol w:w="598"/>
        <w:gridCol w:w="1043"/>
        <w:gridCol w:w="942"/>
        <w:gridCol w:w="942"/>
        <w:gridCol w:w="942"/>
        <w:gridCol w:w="761"/>
        <w:gridCol w:w="670"/>
        <w:gridCol w:w="586"/>
        <w:gridCol w:w="548"/>
        <w:gridCol w:w="761"/>
        <w:gridCol w:w="586"/>
        <w:gridCol w:w="5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1266" w:type="dxa"/>
            <w:gridSpan w:val="1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方正小标宋_GBK" w:eastAsia="方正小标宋_GBK" w:cs="方正小标宋_GBK"/>
                <w:i w:val="0"/>
                <w:iCs w:val="0"/>
                <w:color w:val="000000"/>
                <w:sz w:val="32"/>
                <w:szCs w:val="32"/>
                <w:u w:val="none"/>
              </w:rPr>
            </w:pPr>
            <w:r>
              <w:rPr>
                <w:rFonts w:hint="eastAsia" w:ascii="方正小标宋_GBK" w:hAnsi="方正小标宋_GBK" w:eastAsia="方正小标宋_GBK" w:cs="方正小标宋_GBK"/>
                <w:i w:val="0"/>
                <w:iCs w:val="0"/>
                <w:color w:val="000000"/>
                <w:kern w:val="0"/>
                <w:sz w:val="32"/>
                <w:szCs w:val="32"/>
                <w:u w:val="none"/>
                <w:lang w:val="en-US" w:eastAsia="zh-CN" w:bidi="ar"/>
              </w:rPr>
              <w:t>泽普县2026年第一批财政衔接资金项目计划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序号</w:t>
            </w:r>
          </w:p>
        </w:tc>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项目名称</w:t>
            </w: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项目类别</w:t>
            </w: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项目二级类型</w:t>
            </w: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项目子类型</w:t>
            </w:r>
          </w:p>
        </w:tc>
        <w:tc>
          <w:tcPr>
            <w:tcW w:w="13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项目地点</w:t>
            </w: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计划投资</w:t>
            </w:r>
            <w:r>
              <w:rPr>
                <w:rFonts w:hint="eastAsia" w:ascii="黑体" w:hAnsi="宋体" w:eastAsia="黑体" w:cs="黑体"/>
                <w:b/>
                <w:bCs/>
                <w:i w:val="0"/>
                <w:iCs w:val="0"/>
                <w:color w:val="000000"/>
                <w:kern w:val="0"/>
                <w:sz w:val="18"/>
                <w:szCs w:val="18"/>
                <w:u w:val="none"/>
                <w:lang w:val="en-US" w:eastAsia="zh-CN" w:bidi="ar"/>
              </w:rPr>
              <w:br w:type="textWrapping"/>
            </w:r>
            <w:r>
              <w:rPr>
                <w:rFonts w:hint="eastAsia" w:ascii="黑体" w:hAnsi="宋体" w:eastAsia="黑体" w:cs="黑体"/>
                <w:b/>
                <w:bCs/>
                <w:i w:val="0"/>
                <w:iCs w:val="0"/>
                <w:color w:val="000000"/>
                <w:kern w:val="0"/>
                <w:sz w:val="18"/>
                <w:szCs w:val="18"/>
                <w:u w:val="none"/>
                <w:lang w:val="en-US" w:eastAsia="zh-CN" w:bidi="ar"/>
              </w:rPr>
              <w:t>（万元）</w:t>
            </w: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安排资金</w:t>
            </w:r>
            <w:r>
              <w:rPr>
                <w:rFonts w:hint="eastAsia" w:ascii="黑体" w:hAnsi="宋体" w:eastAsia="黑体" w:cs="黑体"/>
                <w:b/>
                <w:bCs/>
                <w:i w:val="0"/>
                <w:iCs w:val="0"/>
                <w:color w:val="000000"/>
                <w:kern w:val="0"/>
                <w:sz w:val="18"/>
                <w:szCs w:val="18"/>
                <w:u w:val="none"/>
                <w:lang w:val="en-US" w:eastAsia="zh-CN" w:bidi="ar"/>
              </w:rPr>
              <w:br w:type="textWrapping"/>
            </w:r>
            <w:r>
              <w:rPr>
                <w:rFonts w:hint="eastAsia" w:ascii="黑体" w:hAnsi="宋体" w:eastAsia="黑体" w:cs="黑体"/>
                <w:b/>
                <w:bCs/>
                <w:i w:val="0"/>
                <w:iCs w:val="0"/>
                <w:color w:val="000000"/>
                <w:kern w:val="0"/>
                <w:sz w:val="18"/>
                <w:szCs w:val="18"/>
                <w:u w:val="none"/>
                <w:lang w:val="en-US" w:eastAsia="zh-CN" w:bidi="ar"/>
              </w:rPr>
              <w:t>（万元）</w:t>
            </w:r>
          </w:p>
        </w:tc>
        <w:tc>
          <w:tcPr>
            <w:tcW w:w="524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资金来源（万元）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459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衔接资金</w:t>
            </w: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地县配套资金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小计</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巩固拓展和乡村振兴</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以工代赈</w:t>
            </w: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少数</w:t>
            </w:r>
            <w:r>
              <w:rPr>
                <w:rFonts w:hint="eastAsia" w:ascii="黑体" w:hAnsi="宋体" w:eastAsia="黑体" w:cs="黑体"/>
                <w:b/>
                <w:bCs/>
                <w:i w:val="0"/>
                <w:iCs w:val="0"/>
                <w:color w:val="000000"/>
                <w:kern w:val="0"/>
                <w:sz w:val="18"/>
                <w:szCs w:val="18"/>
                <w:u w:val="none"/>
                <w:lang w:val="en-US" w:eastAsia="zh-CN" w:bidi="ar"/>
              </w:rPr>
              <w:br w:type="textWrapping"/>
            </w:r>
            <w:r>
              <w:rPr>
                <w:rFonts w:hint="eastAsia" w:ascii="黑体" w:hAnsi="宋体" w:eastAsia="黑体" w:cs="黑体"/>
                <w:b/>
                <w:bCs/>
                <w:i w:val="0"/>
                <w:iCs w:val="0"/>
                <w:color w:val="000000"/>
                <w:kern w:val="0"/>
                <w:sz w:val="18"/>
                <w:szCs w:val="18"/>
                <w:u w:val="none"/>
                <w:lang w:val="en-US" w:eastAsia="zh-CN" w:bidi="ar"/>
              </w:rPr>
              <w:t>民族</w:t>
            </w:r>
            <w:r>
              <w:rPr>
                <w:rFonts w:hint="eastAsia" w:ascii="黑体" w:hAnsi="宋体" w:eastAsia="黑体" w:cs="黑体"/>
                <w:b/>
                <w:bCs/>
                <w:i w:val="0"/>
                <w:iCs w:val="0"/>
                <w:color w:val="000000"/>
                <w:kern w:val="0"/>
                <w:sz w:val="18"/>
                <w:szCs w:val="18"/>
                <w:u w:val="none"/>
                <w:lang w:val="en-US" w:eastAsia="zh-CN" w:bidi="ar"/>
              </w:rPr>
              <w:br w:type="textWrapping"/>
            </w:r>
            <w:r>
              <w:rPr>
                <w:rFonts w:hint="eastAsia" w:ascii="黑体" w:hAnsi="宋体" w:eastAsia="黑体" w:cs="黑体"/>
                <w:b/>
                <w:bCs/>
                <w:i w:val="0"/>
                <w:iCs w:val="0"/>
                <w:color w:val="000000"/>
                <w:kern w:val="0"/>
                <w:sz w:val="18"/>
                <w:szCs w:val="18"/>
                <w:u w:val="none"/>
                <w:lang w:val="en-US" w:eastAsia="zh-CN" w:bidi="ar"/>
              </w:rPr>
              <w:t>发展</w:t>
            </w: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欠发达国有农场</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中央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自治区</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中央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自治区</w:t>
            </w: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27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泽普县合计（项目33个）</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24548.4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22064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21806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9853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10557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702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753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27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一、产业发展（项目25个）</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19370.66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17867.16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17609.16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9397.5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7198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352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720.66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特色富民产业园滴灌系统提升改造（一期）</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林草基地建设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奎依巴格镇斯日木村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特色富民产业园授粉树嫁接</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林草基地建设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奎依巴格镇斯日木村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半矮化密植苹果园建设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林草基地建设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古勒巴格乡11、12村，赛力乡6村，依克苏乡2村、3村、8村、12村、13村、14村、15村，图呼其乡1村、2村、5村、6村、7村、9村、10村，奎依巴格乡8村、10村、11村、12村，布依鲁克乡2村、3村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依玛乡密植葡萄园建设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林草基地建设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依玛乡5村、6村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阿依库勒乡密植葡萄园建设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林草基地建设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阿依库勒乡3村、5村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奎依巴格乡美丽宜居村产业发展（一期）</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林草基地建设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奎依巴格乡2村、3村、5村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奎依巴格乡美丽宜居村产业发展（二期）</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加工流通项目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市场建设和农村电商物流</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奎依巴格乡3村、5村、6村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69"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阿克塔木乡矮化密植苹果园建设</w:t>
            </w:r>
          </w:p>
        </w:tc>
        <w:tc>
          <w:tcPr>
            <w:tcW w:w="65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林草基地建设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阿克塔木乡8村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jc w:val="center"/>
        </w:trPr>
        <w:tc>
          <w:tcPr>
            <w:tcW w:w="65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769"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阿克塔木乡巴格阿瓦提（1）村农贸市场改造</w:t>
            </w:r>
          </w:p>
        </w:tc>
        <w:tc>
          <w:tcPr>
            <w:tcW w:w="656"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加工流通项目</w:t>
            </w:r>
          </w:p>
        </w:tc>
        <w:tc>
          <w:tcPr>
            <w:tcW w:w="656"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市场建设和农村电商物流</w:t>
            </w:r>
          </w:p>
        </w:tc>
        <w:tc>
          <w:tcPr>
            <w:tcW w:w="1313"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阿克塔木乡巴格阿瓦提（1）村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密植葡萄园建设</w:t>
            </w:r>
          </w:p>
        </w:tc>
        <w:tc>
          <w:tcPr>
            <w:tcW w:w="65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林草基地建设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赛力乡11村、奎依巴格乡6村、阿克塔木乡1村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1720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1513.9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1513.9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513.9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气调库建设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加工流通项目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农产品仓储保鲜冷链基础设施建设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奎依巴格镇斯日木（3）村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鲜果基地冷库配套设施建设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加工流通项目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农产品仓储保鲜冷链基础设施建设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奎依巴格镇斯日木（3）村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奎依巴格乡吉格代加依（3）村半矮化密植园建设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林草基地建设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奎依巴格乡3村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鲜果基地农用机械设备购置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林草基地建设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奎依巴格镇斯日木（3）村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奎依巴格乡土地碎片化整理</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种植业基地</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奎依巴格乡8村、11村、12村、13村、14村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依克苏乡核桃加工厂附属设施建设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加工流通项目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产地初加工和精深加工</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依克苏乡阿拉格尔荒地（14）村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泽普县依玛乡2026年农村水利基础设施建设以工代赈项目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配套设施项目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小型农田水利设施</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依玛乡</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泽普县2026年防渗渠建设（少数民族发展任务）项目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配套设施项目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小型农田水利设施</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图呼其乡塔合塔科瑞克（12）村、奎依巴格乡吉格代加依（3）村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530.66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530.66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530.66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530.66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小额贷款贴息</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金融保险配套</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小额贷款贴息</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泽普县137个行政村及良种场</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351.6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351.6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351.6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农场温室大棚建设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种植业基地</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农场</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园艺场冷库建设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加工流通项目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农产品仓储保鲜冷链基础设施建设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园艺场</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蔬菜基地设施智慧化提升改造</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种植业基地</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古勒巴格乡5村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良种引进繁育体系建设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种植业基地</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波斯喀木乡3村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马铃薯播种机购置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种植业基地</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波斯喀木乡、依玛乡、古勒巴格乡、赛力乡、依克苏乡、图呼其乡、奎依巴格乡、阿克塔木乡、阿依库勒乡</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畜牧业“六合一”服务点提升改造</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产业发展</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生产项目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养殖业基地</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依玛乡3村、古勒巴格乡7村、依克苏乡4村、图呼其乡4村、奎依巴格乡6村、阿依库勒乡13村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27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二、就业增收（项目3个）</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1905.4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1659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1659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1559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8"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一次性交通补助</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就业增收</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务工补助</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交通费补助</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泽普县137个行政村及良种场</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333.6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333.6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233.6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脱贫户、监测对象公益性岗位补助</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就业增收</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公益性岗位</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公益性岗位</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泽普县137个行政村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575.4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农村道路管护人员补助</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就业增收</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公益性岗位</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公益性岗位</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泽普县137个行政村及良种场</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27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三、乡村建设行动（项目3个）</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2490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1800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泽普县奎依巴格镇2026年萨依吐格曼村农村道路建设以工代赈项目</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乡村建设行动</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农村基础设施</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农村道路建设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奎依巴格镇萨依吐格曼村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奎依巴格乡美丽宜居村基础设施建设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乡村建设行动</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农村基础设施</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农村道路建设</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奎依巴格乡2村、3村、5村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阿克塔木乡美丽宜居乡村建设</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乡村建设行动</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人居环境整治</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农村污水治理</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阿克塔木乡1村、2村、3村、5村、7村、8村</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27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四、巩固三保障成果（项目1个）</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750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355.5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355.5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355.5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雨露计划</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巩固三保障成果</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教育</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享受“雨露计划+”职业教育补助</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泽普县137个行政村及良种场</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355.5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355.5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355.5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27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五、其他（项目1个）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32.34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32.34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32.34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32.34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困难群众饮用低氟茶补助</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其他</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其他</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困难群众饮用低氟茶</w:t>
            </w:r>
          </w:p>
        </w:tc>
        <w:tc>
          <w:tcPr>
            <w:tcW w:w="13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泽普县137个行政村及良种场</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bl>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570" w:lineRule="exact"/>
        <w:ind w:right="0" w:rightChars="0"/>
        <w:jc w:val="both"/>
        <w:textAlignment w:val="auto"/>
        <w:outlineLvl w:val="9"/>
        <w:rPr>
          <w:rFonts w:hint="default" w:ascii="Times New Roman" w:hAnsi="Times New Roman" w:eastAsia="仿宋_GB2312" w:cs="Times New Roman"/>
          <w:color w:val="000000"/>
          <w:kern w:val="0"/>
          <w:sz w:val="32"/>
          <w:szCs w:val="32"/>
          <w:highlight w:val="none"/>
          <w:lang w:val="en-US" w:eastAsia="zh-Hans" w:bidi="ar"/>
        </w:rPr>
      </w:pPr>
    </w:p>
    <w:p>
      <w:pPr>
        <w:pStyle w:val="2"/>
        <w:rPr>
          <w:rFonts w:hint="default" w:ascii="Times New Roman" w:hAnsi="Times New Roman" w:eastAsia="仿宋_GB2312" w:cs="Times New Roman"/>
          <w:color w:val="000000"/>
          <w:kern w:val="0"/>
          <w:sz w:val="32"/>
          <w:szCs w:val="32"/>
          <w:highlight w:val="none"/>
          <w:lang w:val="en-US" w:eastAsia="zh-Hans" w:bidi="ar"/>
        </w:rPr>
      </w:pPr>
    </w:p>
    <w:p>
      <w:pPr>
        <w:rPr>
          <w:rFonts w:hint="default" w:ascii="Times New Roman" w:hAnsi="Times New Roman" w:eastAsia="仿宋_GB2312" w:cs="Times New Roman"/>
          <w:color w:val="000000"/>
          <w:kern w:val="0"/>
          <w:sz w:val="32"/>
          <w:szCs w:val="32"/>
          <w:highlight w:val="none"/>
          <w:lang w:val="en-US" w:eastAsia="zh-Hans" w:bidi="ar"/>
        </w:rPr>
      </w:pPr>
    </w:p>
    <w:p>
      <w:pPr>
        <w:pStyle w:val="2"/>
        <w:rPr>
          <w:rFonts w:hint="default"/>
          <w:lang w:val="en-US" w:eastAsia="zh-Hans"/>
        </w:rPr>
      </w:pP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jc w:val="both"/>
        <w:textAlignment w:val="auto"/>
        <w:outlineLvl w:val="9"/>
        <w:rPr>
          <w:rFonts w:hint="default" w:ascii="Times New Roman" w:hAnsi="Times New Roman" w:eastAsia="楷体_GB2312" w:cs="Times New Roman"/>
          <w:b/>
          <w:spacing w:val="-4"/>
          <w:sz w:val="32"/>
          <w:szCs w:val="32"/>
          <w:highlight w:val="none"/>
          <w:lang w:val="en-US" w:eastAsia="zh-Hans"/>
        </w:rPr>
      </w:pPr>
      <w:r>
        <w:rPr>
          <w:rFonts w:hint="default" w:ascii="Times New Roman" w:hAnsi="Times New Roman" w:eastAsia="仿宋_GB2312" w:cs="Times New Roman"/>
          <w:color w:val="000000"/>
          <w:kern w:val="0"/>
          <w:sz w:val="32"/>
          <w:szCs w:val="32"/>
          <w:highlight w:val="none"/>
          <w:lang w:val="en-US" w:eastAsia="zh-Hans" w:bidi="ar"/>
        </w:rPr>
        <w:t xml:space="preserve">   </w:t>
      </w:r>
      <w:r>
        <w:rPr>
          <w:rFonts w:hint="default" w:ascii="Times New Roman" w:hAnsi="Times New Roman" w:eastAsia="楷体_GB2312" w:cs="Times New Roman"/>
          <w:b/>
          <w:spacing w:val="-4"/>
          <w:sz w:val="32"/>
          <w:szCs w:val="32"/>
          <w:highlight w:val="none"/>
          <w:lang w:val="en-US" w:eastAsia="zh-Hans"/>
        </w:rPr>
        <w:t>二、财政衔接推进乡村振兴补助资金相关政策办法。</w:t>
      </w:r>
    </w:p>
    <w:p>
      <w:pPr>
        <w:rPr>
          <w:rFonts w:hint="default" w:ascii="Times New Roman" w:hAnsi="Times New Roman" w:cs="Times New Roman"/>
        </w:rPr>
      </w:pPr>
      <w:r>
        <w:rPr>
          <w:rFonts w:hint="default" w:ascii="Times New Roman" w:hAnsi="Times New Roman" w:eastAsia="方正小标宋简体" w:cs="Times New Roman"/>
          <w:color w:val="000000"/>
          <w:sz w:val="28"/>
          <w:szCs w:val="28"/>
        </w:rPr>
        <w:t>政策文件一</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1438" w:firstLineChars="400"/>
        <w:jc w:val="both"/>
        <w:textAlignment w:val="baseline"/>
        <w:rPr>
          <w:rFonts w:hint="default" w:ascii="Times New Roman" w:hAnsi="Times New Roman" w:eastAsia="方正小标宋_GBK" w:cs="Times New Roman"/>
          <w:snapToGrid w:val="0"/>
          <w:color w:val="000000"/>
          <w:spacing w:val="6"/>
          <w:kern w:val="0"/>
          <w:sz w:val="36"/>
          <w:szCs w:val="36"/>
        </w:rPr>
      </w:pPr>
      <w:r>
        <w:rPr>
          <w:rFonts w:hint="default" w:ascii="Times New Roman" w:hAnsi="Times New Roman" w:eastAsia="方正小标宋_GBK" w:cs="Times New Roman"/>
          <w:b/>
          <w:bCs/>
          <w:snapToGrid w:val="0"/>
          <w:color w:val="000000"/>
          <w:spacing w:val="-1"/>
          <w:kern w:val="0"/>
          <w:sz w:val="36"/>
          <w:szCs w:val="36"/>
        </w:rPr>
        <w:t>新疆维吾尔自治区财政衔接推进乡村振兴</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2875" w:firstLineChars="800"/>
        <w:jc w:val="both"/>
        <w:textAlignment w:val="baseline"/>
        <w:rPr>
          <w:rFonts w:hint="default" w:ascii="Times New Roman" w:hAnsi="Times New Roman" w:eastAsia="方正小标宋_GBK" w:cs="Times New Roman"/>
          <w:snapToGrid w:val="0"/>
          <w:color w:val="000000"/>
          <w:kern w:val="0"/>
          <w:sz w:val="36"/>
          <w:szCs w:val="36"/>
        </w:rPr>
      </w:pPr>
      <w:r>
        <w:rPr>
          <w:rFonts w:hint="default" w:ascii="Times New Roman" w:hAnsi="Times New Roman" w:eastAsia="方正小标宋_GBK" w:cs="Times New Roman"/>
          <w:b/>
          <w:bCs/>
          <w:snapToGrid w:val="0"/>
          <w:color w:val="000000"/>
          <w:spacing w:val="-1"/>
          <w:kern w:val="0"/>
          <w:sz w:val="36"/>
          <w:szCs w:val="36"/>
        </w:rPr>
        <w:t>补助资金管理办法</w:t>
      </w:r>
    </w:p>
    <w:p>
      <w:pPr>
        <w:keepNext w:val="0"/>
        <w:keepLines w:val="0"/>
        <w:pageBreakBefore w:val="0"/>
        <w:widowControl/>
        <w:kinsoku w:val="0"/>
        <w:wordWrap/>
        <w:overflowPunct/>
        <w:topLinePunct w:val="0"/>
        <w:autoSpaceDE w:val="0"/>
        <w:autoSpaceDN w:val="0"/>
        <w:bidi w:val="0"/>
        <w:adjustRightInd w:val="0"/>
        <w:snapToGrid w:val="0"/>
        <w:spacing w:line="570" w:lineRule="exact"/>
        <w:ind w:right="0"/>
        <w:jc w:val="both"/>
        <w:textAlignment w:val="baseline"/>
        <w:rPr>
          <w:rFonts w:hint="default" w:ascii="Times New Roman" w:hAnsi="Times New Roman" w:cs="Times New Roman"/>
          <w:snapToGrid w:val="0"/>
          <w:color w:val="000000"/>
          <w:kern w:val="0"/>
          <w:szCs w:val="21"/>
        </w:rPr>
      </w:pP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第一章总</w:t>
      </w:r>
      <w:r>
        <w:rPr>
          <w:rFonts w:hint="default" w:ascii="Times New Roman" w:hAnsi="Times New Roman" w:eastAsia="方正仿宋_GBK" w:cs="Times New Roman"/>
          <w:sz w:val="32"/>
          <w:szCs w:val="32"/>
          <w:highlight w:val="none"/>
          <w:lang w:val="en-US" w:eastAsia="zh-CN"/>
        </w:rPr>
        <w:t>则</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43"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kern w:val="0"/>
          <w:sz w:val="32"/>
          <w:szCs w:val="32"/>
        </w:rPr>
        <w:t>第一条</w:t>
      </w:r>
      <w:r>
        <w:rPr>
          <w:rFonts w:hint="default" w:ascii="Times New Roman" w:hAnsi="Times New Roman" w:eastAsia="仿宋_GB2312" w:cs="Times New Roman"/>
          <w:snapToGrid w:val="0"/>
          <w:color w:val="000000"/>
          <w:kern w:val="0"/>
          <w:sz w:val="32"/>
          <w:szCs w:val="32"/>
        </w:rPr>
        <w:t xml:space="preserve"> </w:t>
      </w:r>
      <w:r>
        <w:rPr>
          <w:rFonts w:hint="default" w:ascii="Times New Roman" w:hAnsi="Times New Roman" w:eastAsia="方正仿宋_GBK" w:cs="Times New Roman"/>
          <w:sz w:val="32"/>
          <w:szCs w:val="32"/>
          <w:highlight w:val="none"/>
        </w:rPr>
        <w:t>为贯彻落实党中央、国务院关于实现巩固拓展脱贫攻坚成果同乡村振兴有效衔接的决策部署，根据《自治区党委、自治区人民政府关于贯彻落实〈中共中央国务院关于实现巩固拓展脱贫攻坚成果同乡村振兴有效衔接的意见〉的实施意见》和第三次中央新疆工作座谈会精神，加强过渡期财政衔接推进乡村振兴补助资金(以下简称衔接资金)管理，按照《中华人民共和国预算法》《中央财政衔接推进乡村振兴补助资金管理办法》等有关规定，结合自治区实际，制定本办法。</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kern w:val="0"/>
          <w:sz w:val="32"/>
          <w:szCs w:val="32"/>
        </w:rPr>
        <w:t>第二条</w:t>
      </w:r>
      <w:r>
        <w:rPr>
          <w:rFonts w:hint="default" w:ascii="Times New Roman" w:hAnsi="Times New Roman" w:eastAsia="仿宋_GB2312" w:cs="Times New Roman"/>
          <w:snapToGrid w:val="0"/>
          <w:color w:val="000000"/>
          <w:kern w:val="0"/>
          <w:sz w:val="32"/>
          <w:szCs w:val="32"/>
        </w:rPr>
        <w:t xml:space="preserve"> </w:t>
      </w:r>
      <w:r>
        <w:rPr>
          <w:rFonts w:hint="default" w:ascii="Times New Roman" w:hAnsi="Times New Roman" w:eastAsia="方正仿宋_GBK" w:cs="Times New Roman"/>
          <w:sz w:val="32"/>
          <w:szCs w:val="32"/>
          <w:highlight w:val="none"/>
        </w:rPr>
        <w:t>本办法所称衔接资金是指中央和自治区通过财政公共预算安排，用于支持各地巩固拓展脱贫攻坚成果同推进乡村振兴有效衔接的资金。</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第二章 资金使用</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snapToGrid w:val="0"/>
          <w:color w:val="000000"/>
          <w:kern w:val="0"/>
          <w:sz w:val="32"/>
          <w:szCs w:val="32"/>
        </w:rPr>
        <w:t>第三条</w:t>
      </w:r>
      <w:r>
        <w:rPr>
          <w:rFonts w:hint="default" w:ascii="Times New Roman" w:hAnsi="Times New Roman" w:eastAsia="仿宋_GB2312" w:cs="Times New Roman"/>
          <w:snapToGrid w:val="0"/>
          <w:color w:val="000000"/>
          <w:kern w:val="0"/>
          <w:sz w:val="32"/>
          <w:szCs w:val="32"/>
        </w:rPr>
        <w:t xml:space="preserve"> </w:t>
      </w:r>
      <w:r>
        <w:rPr>
          <w:rFonts w:hint="default" w:ascii="Times New Roman" w:hAnsi="Times New Roman" w:eastAsia="方正仿宋_GBK" w:cs="Times New Roman"/>
          <w:sz w:val="32"/>
          <w:szCs w:val="32"/>
          <w:highlight w:val="none"/>
        </w:rPr>
        <w:t>衔接资金应当统筹安排使用形成合力，主要用于支持以下三个方面：</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(一)支持巩固拓展脱贫攻坚成果。</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1.健全防止返贫致贫和帮扶机制，加强预警，强化及时帮扶，对帮扶对象采取有针对性的预防性措施和事后帮 扶措施。可安排产业发展、小额信贷贴息、生产经营和劳动技能 培训、公益岗位补助等支出。低保、医保、养老保险、临时救助等综合保障措施，通过原资金渠道支持。预警工作经费通过各级部门预算安排。</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2.“十三五”易地扶贫搬迁后续扶持。支持实施带动搬迁群众 发展的项目，对集中安置区聘用搬迁群众的公共服务岗位和“一站式”社区综合服务设施建设等费用予以适当补助。对规划内的易地扶贫搬迁贷款和调整规范易地扶贫搬迁融资方式后的地方政府债券按规定予以贴息补助。</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3.外出务工脱贫劳动力(含帮扶对象)就业。对跨 省区就业的脱贫劳动力中央衔接资金可适当安排一次性交通补助，自治区衔接资金可对疆内跨地(州、市)就业的脱贫劳动力适当安排一次性交通补助。采取扶贫车间、以工代赈、生产奖补、劳务补助等方式，促进返乡在乡脱贫劳动力发展产业和就业增收。对吸纳脱贫劳动力就业的扶贫车间继续给予奖补 ，对推进巩固拓展脱贫攻坚成果同乡村振兴有 效衔接的龙头企业、国有农垦企业、合作社等给予支持。继续向符合条件的脱贫家庭(含帮扶对象家庭)安排“雨露计划”补助。</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(二)支持衔接推进乡村振兴。</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1.培育和壮大脱贫地区特色优势产业。年度到县的中央衔接 资金原则上不低于50%用于支持特色产业发展,并逐年提高资金占比。支持农业品种培优、品质提升、品牌打造。推动产销对接 和消费帮扶，解决农产品“卖难”问题。支持必要的产业配套基础 设施建设。支持脱贫村发展壮大村级集体经济和支持欠发达国有农牧林场发展国有经济。2.补齐必要的农村人居环境整治和小型公益性基础设施建 设短板。主要包括水、电、路、网等农业生产配套设施，污水垃 圾清运处理等小型公益性生活设施，以及农户庭院整治、三区分离、改厨改厕、住房加固节能改造等。教育、卫生、养老服务、文化等农村基本公共服务通过原资金渠道支持。3.确保衔接资金完成实施兴边富民行动、人口较少民族发展、少数民族特色产业和民族村寨发展、群众饮用低氟边销茶，以工代赈项目，欠发达国有农牧林场专项任务。</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44" w:firstLineChars="200"/>
        <w:jc w:val="both"/>
        <w:textAlignment w:val="baseline"/>
        <w:rPr>
          <w:rFonts w:hint="default" w:ascii="Times New Roman" w:hAnsi="Times New Roman" w:eastAsia="仿宋_GB2312" w:cs="Times New Roman"/>
          <w:snapToGrid w:val="0"/>
          <w:color w:val="000000"/>
          <w:spacing w:val="1"/>
          <w:kern w:val="0"/>
          <w:sz w:val="32"/>
          <w:szCs w:val="32"/>
        </w:rPr>
      </w:pPr>
      <w:r>
        <w:rPr>
          <w:rFonts w:hint="default" w:ascii="Times New Roman" w:hAnsi="Times New Roman" w:eastAsia="仿宋_GB2312" w:cs="Times New Roman"/>
          <w:snapToGrid w:val="0"/>
          <w:color w:val="000000"/>
          <w:spacing w:val="1"/>
          <w:kern w:val="0"/>
          <w:sz w:val="32"/>
          <w:szCs w:val="32"/>
        </w:rPr>
        <w:t>(三)巩固拓展脱贫攻坚成果同乡村振兴有效衔接的其他相关支出。</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47"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snapToGrid w:val="0"/>
          <w:color w:val="000000"/>
          <w:spacing w:val="1"/>
          <w:kern w:val="0"/>
          <w:sz w:val="32"/>
          <w:szCs w:val="32"/>
        </w:rPr>
        <w:t>第四条</w:t>
      </w:r>
      <w:r>
        <w:rPr>
          <w:rFonts w:hint="default" w:ascii="Times New Roman" w:hAnsi="Times New Roman" w:eastAsia="仿宋_GB2312" w:cs="Times New Roman"/>
          <w:snapToGrid w:val="0"/>
          <w:color w:val="000000"/>
          <w:spacing w:val="1"/>
          <w:kern w:val="0"/>
          <w:sz w:val="32"/>
          <w:szCs w:val="32"/>
        </w:rPr>
        <w:t xml:space="preserve"> </w:t>
      </w:r>
      <w:r>
        <w:rPr>
          <w:rFonts w:hint="default" w:ascii="Times New Roman" w:hAnsi="Times New Roman" w:eastAsia="方正仿宋_GBK" w:cs="Times New Roman"/>
          <w:sz w:val="32"/>
          <w:szCs w:val="32"/>
          <w:highlight w:val="none"/>
        </w:rPr>
        <w:t>衔接资金不得用于与巩固拓展脱贫攻坚成果和推进脱贫地区乡村振兴无关的支出。包括：1.单位基本支出;2.交通工具及通讯设备；3.修建楼堂馆所；4.各种奖金津贴和福利补助；5.偿还债务和垫资；6.弥补企业亏损；7.城市基础设施建设；8.其他与巩固拓展脱贫攻坚成果同乡村振兴无关的支出。偿还易地扶贫搬迁长期低息贷款按有关计划执行；用于易地扶贫搬迁的地方政府债券资金按有关规定执行。</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24" w:firstLineChars="200"/>
        <w:jc w:val="both"/>
        <w:textAlignment w:val="baseline"/>
        <w:rPr>
          <w:rFonts w:hint="default" w:ascii="Times New Roman" w:hAnsi="Times New Roman" w:eastAsia="仿宋_GB2312" w:cs="Times New Roman"/>
          <w:snapToGrid w:val="0"/>
          <w:color w:val="000000"/>
          <w:kern w:val="0"/>
          <w:sz w:val="32"/>
          <w:szCs w:val="32"/>
        </w:rPr>
      </w:pPr>
      <w:r>
        <w:rPr>
          <w:rFonts w:hint="default" w:ascii="Times New Roman" w:hAnsi="Times New Roman" w:eastAsia="仿宋_GB2312" w:cs="Times New Roman"/>
          <w:snapToGrid w:val="0"/>
          <w:color w:val="000000"/>
          <w:spacing w:val="-4"/>
          <w:kern w:val="0"/>
          <w:sz w:val="32"/>
          <w:szCs w:val="32"/>
        </w:rPr>
        <w:t>第三章</w:t>
      </w:r>
      <w:r>
        <w:rPr>
          <w:rFonts w:hint="default" w:ascii="Times New Roman" w:hAnsi="Times New Roman" w:eastAsia="仿宋_GB2312" w:cs="Times New Roman"/>
          <w:snapToGrid w:val="0"/>
          <w:color w:val="000000"/>
          <w:spacing w:val="134"/>
          <w:kern w:val="0"/>
          <w:sz w:val="32"/>
          <w:szCs w:val="32"/>
        </w:rPr>
        <w:t xml:space="preserve"> </w:t>
      </w:r>
      <w:r>
        <w:rPr>
          <w:rFonts w:hint="default" w:ascii="Times New Roman" w:hAnsi="Times New Roman" w:eastAsia="仿宋_GB2312" w:cs="Times New Roman"/>
          <w:snapToGrid w:val="0"/>
          <w:color w:val="000000"/>
          <w:spacing w:val="-4"/>
          <w:kern w:val="0"/>
          <w:sz w:val="32"/>
          <w:szCs w:val="32"/>
        </w:rPr>
        <w:t>资金管理</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19"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6"/>
          <w:kern w:val="0"/>
          <w:sz w:val="32"/>
          <w:szCs w:val="32"/>
        </w:rPr>
        <w:t>第五条</w:t>
      </w:r>
      <w:r>
        <w:rPr>
          <w:rFonts w:hint="default" w:ascii="Times New Roman" w:hAnsi="Times New Roman" w:eastAsia="仿宋_GB2312" w:cs="Times New Roman"/>
          <w:snapToGrid w:val="0"/>
          <w:color w:val="000000"/>
          <w:spacing w:val="22"/>
          <w:kern w:val="0"/>
          <w:sz w:val="32"/>
          <w:szCs w:val="32"/>
        </w:rPr>
        <w:t xml:space="preserve"> </w:t>
      </w:r>
      <w:r>
        <w:rPr>
          <w:rFonts w:hint="default" w:ascii="Times New Roman" w:hAnsi="Times New Roman" w:eastAsia="方正仿宋_GBK" w:cs="Times New Roman"/>
          <w:sz w:val="32"/>
          <w:szCs w:val="32"/>
          <w:highlight w:val="none"/>
        </w:rPr>
        <w:t>各级财政部门要根据巩固拓展脱贫攻坚成果同乡村振兴有效衔接的任务需要及财力情况每年预算安排一定规模的本级衔接资金，保持投入力度总体。</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23"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5"/>
          <w:kern w:val="0"/>
          <w:sz w:val="32"/>
          <w:szCs w:val="32"/>
        </w:rPr>
        <w:t>第六条</w:t>
      </w:r>
      <w:r>
        <w:rPr>
          <w:rFonts w:hint="default" w:ascii="Times New Roman" w:hAnsi="Times New Roman" w:eastAsia="仿宋_GB2312" w:cs="Times New Roman"/>
          <w:snapToGrid w:val="0"/>
          <w:color w:val="000000"/>
          <w:spacing w:val="39"/>
          <w:kern w:val="0"/>
          <w:sz w:val="32"/>
          <w:szCs w:val="32"/>
        </w:rPr>
        <w:t xml:space="preserve"> </w:t>
      </w:r>
      <w:r>
        <w:rPr>
          <w:rFonts w:hint="default" w:ascii="Times New Roman" w:hAnsi="Times New Roman" w:eastAsia="方正仿宋_GBK" w:cs="Times New Roman"/>
          <w:sz w:val="32"/>
          <w:szCs w:val="32"/>
          <w:highlight w:val="none"/>
        </w:rPr>
        <w:t>衔接资金按照巩固拓展脱贫攻坚成果和乡村振兴、 以工代赈、少数民族发展、欠发达国有农牧林场巩固提升进行分配。资金分配主要按照因素法进行测算，因素和权重为：相关人群数量及结构30%、相关人群收入30%、政策因素30%、绩效等考核结果10%,可根据当年中央或自治区党委、自治区人民政府重点工作任务并进行综合平衡。</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1" w:firstLineChars="200"/>
        <w:jc w:val="both"/>
        <w:textAlignment w:val="baseline"/>
        <w:rPr>
          <w:rFonts w:hint="default" w:ascii="Times New Roman" w:hAnsi="Times New Roman" w:eastAsia="仿宋_GB2312" w:cs="Times New Roman"/>
          <w:snapToGrid w:val="0"/>
          <w:color w:val="000000"/>
          <w:kern w:val="0"/>
          <w:sz w:val="32"/>
          <w:szCs w:val="32"/>
        </w:rPr>
      </w:pPr>
      <w:r>
        <w:rPr>
          <w:rFonts w:hint="default" w:ascii="Times New Roman" w:hAnsi="Times New Roman" w:eastAsia="仿宋_GB2312" w:cs="Times New Roman"/>
          <w:b/>
          <w:bCs/>
          <w:snapToGrid w:val="0"/>
          <w:color w:val="000000"/>
          <w:spacing w:val="-3"/>
          <w:kern w:val="0"/>
          <w:sz w:val="32"/>
          <w:szCs w:val="32"/>
        </w:rPr>
        <w:t>第七条</w:t>
      </w:r>
      <w:r>
        <w:rPr>
          <w:rFonts w:hint="default" w:ascii="Times New Roman" w:hAnsi="Times New Roman" w:eastAsia="仿宋_GB2312" w:cs="Times New Roman"/>
          <w:snapToGrid w:val="0"/>
          <w:color w:val="000000"/>
          <w:spacing w:val="23"/>
          <w:kern w:val="0"/>
          <w:sz w:val="32"/>
          <w:szCs w:val="32"/>
        </w:rPr>
        <w:t xml:space="preserve"> </w:t>
      </w:r>
      <w:r>
        <w:rPr>
          <w:rFonts w:hint="default" w:ascii="Times New Roman" w:hAnsi="Times New Roman" w:eastAsia="方正仿宋_GBK" w:cs="Times New Roman"/>
          <w:sz w:val="32"/>
          <w:szCs w:val="32"/>
          <w:highlight w:val="none"/>
        </w:rPr>
        <w:t>衔接资金安排应综合考虑脱贫县规模和分布，兼顾脱贫县和非贫困县的实际情况,对国家和自治区乡村振兴重点帮 扶县予以倾斜。衔接资金项目审批权限下放到县级，强化县级管理责任,县级可统筹安排不超过30%的到县衔接资金,支持非贫困村发展产业、补齐必要的基础设施短板及县级乡村振兴规划相关项目。</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5"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2"/>
          <w:kern w:val="0"/>
          <w:sz w:val="32"/>
          <w:szCs w:val="32"/>
        </w:rPr>
        <w:t>第八条</w:t>
      </w:r>
      <w:r>
        <w:rPr>
          <w:rFonts w:hint="default" w:ascii="Times New Roman" w:hAnsi="Times New Roman" w:eastAsia="仿宋_GB2312" w:cs="Times New Roman"/>
          <w:snapToGrid w:val="0"/>
          <w:color w:val="000000"/>
          <w:spacing w:val="66"/>
          <w:kern w:val="0"/>
          <w:sz w:val="32"/>
          <w:szCs w:val="32"/>
        </w:rPr>
        <w:t xml:space="preserve"> </w:t>
      </w:r>
      <w:r>
        <w:rPr>
          <w:rFonts w:hint="default" w:ascii="Times New Roman" w:hAnsi="Times New Roman" w:eastAsia="方正仿宋_GBK" w:cs="Times New Roman"/>
          <w:sz w:val="32"/>
          <w:szCs w:val="32"/>
          <w:highlight w:val="none"/>
        </w:rPr>
        <w:t>各地要建立完善巩固拓展脱贫攻坚成果和乡村振兴项目库，提前做好项目储备，严格项目论证入库，衔接资金支持的项目原则上要从项目库选择，且符合本办法要求。属于政府采购管理范围的项目,执行政府采购相关规定。村级微小型项目可按照村民民主议事方式直接委托村级组织自建自营。各地要加强衔接资金和项目管理，落实绩效管理要求，全面推行公开公示制度，加快预算执行，提高资金使用效益。</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03"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10"/>
          <w:kern w:val="0"/>
          <w:sz w:val="32"/>
          <w:szCs w:val="32"/>
        </w:rPr>
        <w:t>第九条</w:t>
      </w:r>
      <w:r>
        <w:rPr>
          <w:rFonts w:hint="default" w:ascii="Times New Roman" w:hAnsi="Times New Roman" w:eastAsia="仿宋_GB2312" w:cs="Times New Roman"/>
          <w:snapToGrid w:val="0"/>
          <w:color w:val="000000"/>
          <w:spacing w:val="13"/>
          <w:kern w:val="0"/>
          <w:sz w:val="32"/>
          <w:szCs w:val="32"/>
        </w:rPr>
        <w:t xml:space="preserve"> </w:t>
      </w:r>
      <w:r>
        <w:rPr>
          <w:rFonts w:hint="default" w:ascii="Times New Roman" w:hAnsi="Times New Roman" w:eastAsia="方正仿宋_GBK" w:cs="Times New Roman"/>
          <w:sz w:val="32"/>
          <w:szCs w:val="32"/>
          <w:highlight w:val="none"/>
        </w:rPr>
        <w:t>县级可根据衔接资金项目管理工作需要， 从衔接资金中，按最高不超过1%的比例据实列支项目管理费。项目管理费主要用于项目前期设计、评审、招标、监理以及验收等与项目管理相关的支出。</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5"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2"/>
          <w:kern w:val="0"/>
          <w:sz w:val="32"/>
          <w:szCs w:val="32"/>
        </w:rPr>
        <w:t>第十条</w:t>
      </w:r>
      <w:r>
        <w:rPr>
          <w:rFonts w:hint="default" w:ascii="Times New Roman" w:hAnsi="Times New Roman" w:eastAsia="仿宋_GB2312" w:cs="Times New Roman"/>
          <w:snapToGrid w:val="0"/>
          <w:color w:val="000000"/>
          <w:spacing w:val="36"/>
          <w:kern w:val="0"/>
          <w:sz w:val="32"/>
          <w:szCs w:val="32"/>
        </w:rPr>
        <w:t xml:space="preserve"> </w:t>
      </w:r>
      <w:r>
        <w:rPr>
          <w:rFonts w:hint="default" w:ascii="Times New Roman" w:hAnsi="Times New Roman" w:eastAsia="方正仿宋_GBK" w:cs="Times New Roman"/>
          <w:sz w:val="32"/>
          <w:szCs w:val="32"/>
          <w:highlight w:val="none"/>
        </w:rPr>
        <w:t>各级财政部门负责预算安排、审核资金分配建议方案和下达资金,指导各级乡村振兴、发展改革、民委、农业农村、林草等行业主管部门(以下简称行业主管部门)加强资金监管和绩效管理。各级行业主管部门负责提出资金分配建议方案、资金和项目使用管理、绩效管理、监督管理等工作，按照权责对等原则落实监管责任。</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55" w:firstLineChars="200"/>
        <w:jc w:val="both"/>
        <w:textAlignment w:val="baseline"/>
        <w:rPr>
          <w:rFonts w:hint="default" w:ascii="Times New Roman" w:hAnsi="Times New Roman" w:eastAsia="仿宋_GB2312" w:cs="Times New Roman"/>
          <w:snapToGrid w:val="0"/>
          <w:color w:val="000000"/>
          <w:spacing w:val="4"/>
          <w:kern w:val="0"/>
          <w:sz w:val="32"/>
          <w:szCs w:val="32"/>
        </w:rPr>
      </w:pPr>
      <w:r>
        <w:rPr>
          <w:rFonts w:hint="default" w:ascii="Times New Roman" w:hAnsi="Times New Roman" w:eastAsia="仿宋_GB2312" w:cs="Times New Roman"/>
          <w:b/>
          <w:snapToGrid w:val="0"/>
          <w:color w:val="000000"/>
          <w:spacing w:val="3"/>
          <w:kern w:val="0"/>
          <w:sz w:val="32"/>
          <w:szCs w:val="32"/>
        </w:rPr>
        <w:t>第十一条</w:t>
      </w:r>
      <w:r>
        <w:rPr>
          <w:rFonts w:hint="default" w:ascii="Times New Roman" w:hAnsi="Times New Roman" w:eastAsia="仿宋_GB2312" w:cs="Times New Roman"/>
          <w:snapToGrid w:val="0"/>
          <w:color w:val="000000"/>
          <w:spacing w:val="3"/>
          <w:kern w:val="0"/>
          <w:sz w:val="32"/>
          <w:szCs w:val="32"/>
        </w:rPr>
        <w:t xml:space="preserve"> </w:t>
      </w:r>
      <w:r>
        <w:rPr>
          <w:rFonts w:hint="default" w:ascii="Times New Roman" w:hAnsi="Times New Roman" w:eastAsia="方正仿宋_GBK" w:cs="Times New Roman"/>
          <w:sz w:val="32"/>
          <w:szCs w:val="32"/>
          <w:highlight w:val="none"/>
        </w:rPr>
        <w:t>自治区乡村振兴、发展改革、民委、农业农村、林草等行业主管部门在收到资金文件或财政厅告知函后10日内，提出资金分配方案正式行文报财政厅；财政厅在15日内，按程序审核分配方案，报请自治区人民政府审定后，下达资金，并抄送财政部新疆监管局。地州市财政部门在收到资金文件后，要及时书面通知同级行业主管部门,在5日内将指标或资金及时下达到有关县(市、区)。</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县级财政部门在收到资金文件后,要及时书面通知同级行业主管部门,并由县级行业主管部门会同财政部门根据年度巩固拓 展脱贫攻坚成果同乡村振兴有效衔接工作任务,从项目库中遴选 项目，及时拟定年度项目计划或资金使用方案,并逐级上报行业主管部门备案。</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71"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7"/>
          <w:kern w:val="0"/>
          <w:sz w:val="32"/>
          <w:szCs w:val="32"/>
        </w:rPr>
        <w:t>第十二条</w:t>
      </w:r>
      <w:r>
        <w:rPr>
          <w:rFonts w:hint="default" w:ascii="Times New Roman" w:hAnsi="Times New Roman" w:eastAsia="仿宋_GB2312" w:cs="Times New Roman"/>
          <w:snapToGrid w:val="0"/>
          <w:color w:val="000000"/>
          <w:spacing w:val="48"/>
          <w:kern w:val="0"/>
          <w:sz w:val="32"/>
          <w:szCs w:val="32"/>
        </w:rPr>
        <w:t xml:space="preserve"> </w:t>
      </w:r>
      <w:r>
        <w:rPr>
          <w:rFonts w:hint="default" w:ascii="Times New Roman" w:hAnsi="Times New Roman" w:eastAsia="方正仿宋_GBK" w:cs="Times New Roman"/>
          <w:sz w:val="32"/>
          <w:szCs w:val="32"/>
          <w:highlight w:val="none"/>
        </w:rPr>
        <w:t>各级财政部门按照工作职责和工作要求，对衔接 资金使用管理情况进行监管。各级财政和行业主管部门按要求配合审计、纪检监察、检察机关做好衔接资金和项目的审计、检查等工作。</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75"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8"/>
          <w:kern w:val="0"/>
          <w:sz w:val="32"/>
          <w:szCs w:val="32"/>
        </w:rPr>
        <w:t>第十三条</w:t>
      </w:r>
      <w:r>
        <w:rPr>
          <w:rFonts w:hint="default" w:ascii="Times New Roman" w:hAnsi="Times New Roman" w:eastAsia="仿宋_GB2312" w:cs="Times New Roman"/>
          <w:snapToGrid w:val="0"/>
          <w:color w:val="000000"/>
          <w:spacing w:val="14"/>
          <w:kern w:val="0"/>
          <w:sz w:val="32"/>
          <w:szCs w:val="32"/>
        </w:rPr>
        <w:t xml:space="preserve"> </w:t>
      </w:r>
      <w:r>
        <w:rPr>
          <w:rFonts w:hint="default" w:ascii="Times New Roman" w:hAnsi="Times New Roman" w:eastAsia="方正仿宋_GBK" w:cs="Times New Roman"/>
          <w:sz w:val="32"/>
          <w:szCs w:val="32"/>
          <w:highlight w:val="none"/>
        </w:rPr>
        <w:t>衔接资金实行国库集中支付管理。各级财政部门应当按照国库集中支付制度的有关规定和政府采购程序，及时办理资金拨付手续。县级行业主管部门根据项目的实际情况，可采取工程竣工决算后一次性支付或按工程进度分批次申请支付项目资金。经县级行业主管部门出具审核意见后，县级财政部门可预付部分项目启动资金，比例由县级根据实际自行确定。预付资金在项 目资金支付时抵扣。预付资金总额合计原则上不超过应付该项目 资金总额的50%,其中：基础建设类项目预付资金原则上不超过合同金额的30%。项目资金支付后，在审计或检查中发现资金使用存在违法违规问题的，应及时追回、收回。</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9"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1"/>
          <w:kern w:val="0"/>
          <w:sz w:val="32"/>
          <w:szCs w:val="32"/>
        </w:rPr>
        <w:t>第十四条</w:t>
      </w:r>
      <w:r>
        <w:rPr>
          <w:rFonts w:hint="default" w:ascii="Times New Roman" w:hAnsi="Times New Roman" w:eastAsia="仿宋_GB2312" w:cs="Times New Roman"/>
          <w:snapToGrid w:val="0"/>
          <w:color w:val="000000"/>
          <w:spacing w:val="28"/>
          <w:kern w:val="0"/>
          <w:sz w:val="32"/>
          <w:szCs w:val="32"/>
        </w:rPr>
        <w:t xml:space="preserve"> </w:t>
      </w:r>
      <w:r>
        <w:rPr>
          <w:rFonts w:hint="default" w:ascii="Times New Roman" w:hAnsi="Times New Roman" w:eastAsia="方正仿宋_GBK" w:cs="Times New Roman"/>
          <w:sz w:val="32"/>
          <w:szCs w:val="32"/>
          <w:highlight w:val="none"/>
        </w:rPr>
        <w:t>各地衔接资金执行进度纳入自治区衔接资金绩效 考评内容，严禁虚列支出、以拨代支虚增预算执行进度。各地要定期清理盘活历年结转结余资金，上年结转结余资金按照自治区关于结转结余资金管理的相关规定执行。</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9"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1"/>
          <w:kern w:val="0"/>
          <w:sz w:val="32"/>
          <w:szCs w:val="32"/>
        </w:rPr>
        <w:t>第十五条</w:t>
      </w:r>
      <w:r>
        <w:rPr>
          <w:rFonts w:hint="default" w:ascii="Times New Roman" w:hAnsi="Times New Roman" w:eastAsia="仿宋_GB2312" w:cs="Times New Roman"/>
          <w:snapToGrid w:val="0"/>
          <w:color w:val="000000"/>
          <w:spacing w:val="19"/>
          <w:kern w:val="0"/>
          <w:sz w:val="32"/>
          <w:szCs w:val="32"/>
        </w:rPr>
        <w:t xml:space="preserve"> </w:t>
      </w:r>
      <w:r>
        <w:rPr>
          <w:rFonts w:hint="default" w:ascii="Times New Roman" w:hAnsi="Times New Roman" w:eastAsia="方正仿宋_GBK" w:cs="Times New Roman"/>
          <w:sz w:val="32"/>
          <w:szCs w:val="32"/>
          <w:highlight w:val="none"/>
        </w:rPr>
        <w:t>继续按规定开展统筹整合使用财政涉农资金试点 工作的脱贫县,衔接资金使用按照涉农资金统筹整合有关要求执行。</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9" w:firstLineChars="200"/>
        <w:jc w:val="both"/>
        <w:textAlignment w:val="baseline"/>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bCs/>
          <w:snapToGrid w:val="0"/>
          <w:color w:val="000000"/>
          <w:spacing w:val="-1"/>
          <w:kern w:val="0"/>
          <w:sz w:val="32"/>
          <w:szCs w:val="32"/>
        </w:rPr>
        <w:t>第十六条</w:t>
      </w:r>
      <w:r>
        <w:rPr>
          <w:rFonts w:hint="default" w:ascii="Times New Roman" w:hAnsi="Times New Roman" w:eastAsia="仿宋_GB2312" w:cs="Times New Roman"/>
          <w:snapToGrid w:val="0"/>
          <w:color w:val="000000"/>
          <w:spacing w:val="19"/>
          <w:kern w:val="0"/>
          <w:sz w:val="32"/>
          <w:szCs w:val="32"/>
        </w:rPr>
        <w:t xml:space="preserve"> </w:t>
      </w:r>
      <w:r>
        <w:rPr>
          <w:rFonts w:hint="default" w:ascii="Times New Roman" w:hAnsi="Times New Roman" w:eastAsia="方正仿宋_GBK" w:cs="Times New Roman"/>
          <w:sz w:val="32"/>
          <w:szCs w:val="32"/>
          <w:highlight w:val="none"/>
        </w:rPr>
        <w:t>各级财政和行业主管部门及其工作人员在衔接资金分配、使用管理等工作中，存在违反本办法规定，以及滥用职权、玩忽职守、徇私舞弊等违法违纪行为的,按照国家有关规定追究相应责任；涉嫌犯罪的，移送有关国家机关处理。</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44" w:firstLineChars="200"/>
        <w:jc w:val="both"/>
        <w:textAlignment w:val="baseline"/>
        <w:rPr>
          <w:rFonts w:hint="default" w:ascii="Times New Roman" w:hAnsi="Times New Roman" w:eastAsia="仿宋_GB2312" w:cs="Times New Roman"/>
          <w:snapToGrid w:val="0"/>
          <w:color w:val="000000"/>
          <w:kern w:val="0"/>
          <w:sz w:val="32"/>
          <w:szCs w:val="32"/>
        </w:rPr>
      </w:pPr>
      <w:r>
        <w:rPr>
          <w:rFonts w:hint="default" w:ascii="Times New Roman" w:hAnsi="Times New Roman" w:eastAsia="仿宋_GB2312" w:cs="Times New Roman"/>
          <w:snapToGrid w:val="0"/>
          <w:color w:val="000000"/>
          <w:spacing w:val="1"/>
          <w:kern w:val="0"/>
          <w:sz w:val="32"/>
          <w:szCs w:val="32"/>
        </w:rPr>
        <w:t>第四章</w:t>
      </w:r>
      <w:r>
        <w:rPr>
          <w:rFonts w:hint="default" w:ascii="Times New Roman" w:hAnsi="Times New Roman" w:eastAsia="仿宋_GB2312" w:cs="Times New Roman"/>
          <w:snapToGrid w:val="0"/>
          <w:color w:val="000000"/>
          <w:spacing w:val="144"/>
          <w:kern w:val="0"/>
          <w:sz w:val="32"/>
          <w:szCs w:val="32"/>
        </w:rPr>
        <w:t xml:space="preserve"> </w:t>
      </w:r>
      <w:r>
        <w:rPr>
          <w:rFonts w:hint="default" w:ascii="Times New Roman" w:hAnsi="Times New Roman" w:eastAsia="仿宋_GB2312" w:cs="Times New Roman"/>
          <w:snapToGrid w:val="0"/>
          <w:color w:val="000000"/>
          <w:spacing w:val="1"/>
          <w:kern w:val="0"/>
          <w:sz w:val="32"/>
          <w:szCs w:val="32"/>
        </w:rPr>
        <w:t>附则</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639" w:firstLineChars="200"/>
        <w:jc w:val="both"/>
        <w:textAlignment w:val="baseline"/>
        <w:rPr>
          <w:rFonts w:hint="default" w:ascii="Times New Roman" w:hAnsi="Times New Roman" w:eastAsia="仿宋_GB2312" w:cs="Times New Roman"/>
          <w:b/>
          <w:bCs/>
          <w:snapToGrid w:val="0"/>
          <w:color w:val="000000"/>
          <w:spacing w:val="-1"/>
          <w:kern w:val="0"/>
          <w:sz w:val="32"/>
          <w:szCs w:val="32"/>
        </w:rPr>
      </w:pPr>
      <w:r>
        <w:rPr>
          <w:rFonts w:hint="default" w:ascii="Times New Roman" w:hAnsi="Times New Roman" w:eastAsia="仿宋_GB2312" w:cs="Times New Roman"/>
          <w:b/>
          <w:bCs/>
          <w:snapToGrid w:val="0"/>
          <w:color w:val="000000"/>
          <w:spacing w:val="-1"/>
          <w:kern w:val="0"/>
          <w:sz w:val="32"/>
          <w:szCs w:val="32"/>
        </w:rPr>
        <w:t xml:space="preserve">第十七条 </w:t>
      </w:r>
      <w:r>
        <w:rPr>
          <w:rFonts w:hint="default" w:ascii="Times New Roman" w:hAnsi="Times New Roman" w:eastAsia="方正仿宋_GBK" w:cs="Times New Roman"/>
          <w:sz w:val="32"/>
          <w:szCs w:val="32"/>
          <w:highlight w:val="none"/>
        </w:rPr>
        <w:t>各地(州、市)财政部门可根据本办法制定实施细则，报自治区财政厅备案。</w:t>
      </w: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787" w:firstLineChars="200"/>
        <w:jc w:val="both"/>
        <w:textAlignment w:val="baseline"/>
        <w:rPr>
          <w:rFonts w:hint="default" w:ascii="Times New Roman" w:hAnsi="Times New Roman" w:eastAsia="方正仿宋_GBK" w:cs="Times New Roman"/>
          <w:sz w:val="32"/>
          <w:szCs w:val="32"/>
          <w:highlight w:val="none"/>
          <w:lang w:eastAsia="zh-CN"/>
        </w:rPr>
      </w:pPr>
      <w:r>
        <w:rPr>
          <w:rFonts w:hint="default" w:ascii="Times New Roman" w:hAnsi="Times New Roman" w:eastAsia="仿宋_GB2312" w:cs="Times New Roman"/>
          <w:b/>
          <w:bCs/>
          <w:snapToGrid w:val="0"/>
          <w:color w:val="000000"/>
          <w:spacing w:val="36"/>
          <w:kern w:val="0"/>
          <w:sz w:val="32"/>
          <w:szCs w:val="32"/>
        </w:rPr>
        <w:t>第十八条</w:t>
      </w:r>
      <w:r>
        <w:rPr>
          <w:rFonts w:hint="default" w:ascii="Times New Roman" w:hAnsi="Times New Roman" w:eastAsia="仿宋_GB2312" w:cs="Times New Roman"/>
          <w:snapToGrid w:val="0"/>
          <w:color w:val="000000"/>
          <w:spacing w:val="24"/>
          <w:kern w:val="0"/>
          <w:sz w:val="32"/>
          <w:szCs w:val="32"/>
        </w:rPr>
        <w:t xml:space="preserve"> </w:t>
      </w:r>
      <w:r>
        <w:rPr>
          <w:rFonts w:hint="default" w:ascii="Times New Roman" w:hAnsi="Times New Roman" w:eastAsia="方正仿宋_GBK" w:cs="Times New Roman"/>
          <w:sz w:val="32"/>
          <w:szCs w:val="32"/>
          <w:highlight w:val="none"/>
        </w:rPr>
        <w:t>本办法自2021年8月5日起施行，由自治区财政厅会同行业主管部门负责解释。《财政厅扶贫办发改委 民委农业厅林业厅畜牧厅关于印发&lt;新疆维吾尔自治区财政专项扶贫资金管理办法&gt;的通知》(新财扶〔2017〕32号)、《转发财政部国家民族委员会关于印发〈少数民族发展资金管 理办法的通知〉的通知》(新财扶〔2006〕7号)、《关于转 发财政部、国家林业局关于印发〈国有贫困林场扶贫资金管理 办法的通知〉的通知》(新财扶〔2005〕18号)、《财政厅林 业厅关于印发〈新疆维吾尔自治区国有贫困林场扶贫资金管理 办法实施细则〉的通知》(新财扶〔2006〕24号)同时废止。自治区其他有关财政专项扶贫资金管理的制度、办法及规定与本办法不符的，执行本办法</w:t>
      </w:r>
      <w:r>
        <w:rPr>
          <w:rFonts w:hint="default" w:ascii="Times New Roman" w:hAnsi="Times New Roman" w:eastAsia="方正仿宋_GBK" w:cs="Times New Roman"/>
          <w:sz w:val="32"/>
          <w:szCs w:val="32"/>
          <w:highlight w:val="none"/>
          <w:lang w:eastAsia="zh-CN"/>
        </w:rPr>
        <w:t>。</w:t>
      </w:r>
    </w:p>
    <w:p>
      <w:pPr>
        <w:pStyle w:val="2"/>
        <w:rPr>
          <w:rFonts w:hint="default" w:ascii="Times New Roman" w:hAnsi="Times New Roman" w:eastAsia="方正仿宋_GBK" w:cs="Times New Roman"/>
          <w:sz w:val="32"/>
          <w:szCs w:val="32"/>
          <w:highlight w:val="none"/>
          <w:lang w:eastAsia="zh-CN"/>
        </w:rPr>
      </w:pPr>
    </w:p>
    <w:p>
      <w:pPr>
        <w:rPr>
          <w:rFonts w:hint="default" w:ascii="Times New Roman" w:hAnsi="Times New Roman" w:eastAsia="方正仿宋_GBK" w:cs="Times New Roman"/>
          <w:sz w:val="32"/>
          <w:szCs w:val="32"/>
          <w:highlight w:val="none"/>
          <w:lang w:eastAsia="zh-CN"/>
        </w:rPr>
      </w:pPr>
    </w:p>
    <w:p>
      <w:pPr>
        <w:pStyle w:val="2"/>
        <w:rPr>
          <w:rFonts w:hint="default" w:ascii="Times New Roman" w:hAnsi="Times New Roman" w:eastAsia="方正仿宋_GBK" w:cs="Times New Roman"/>
          <w:sz w:val="32"/>
          <w:szCs w:val="32"/>
          <w:highlight w:val="none"/>
          <w:lang w:eastAsia="zh-CN"/>
        </w:rPr>
      </w:pPr>
    </w:p>
    <w:p>
      <w:pPr>
        <w:rPr>
          <w:rFonts w:hint="default"/>
          <w:lang w:eastAsia="zh-CN"/>
        </w:rPr>
      </w:pPr>
      <w:bookmarkStart w:id="5" w:name="_GoBack"/>
      <w:bookmarkEnd w:id="5"/>
    </w:p>
    <w:p>
      <w:pPr>
        <w:pStyle w:val="2"/>
        <w:rPr>
          <w:rFonts w:hint="default"/>
          <w:lang w:eastAsia="zh-CN"/>
        </w:rPr>
      </w:pPr>
    </w:p>
    <w:p>
      <w:pPr>
        <w:pStyle w:val="2"/>
        <w:rPr>
          <w:rFonts w:hint="default" w:ascii="Times New Roman" w:hAnsi="Times New Roman" w:cs="Times New Roman"/>
          <w:lang w:eastAsia="zh-CN"/>
        </w:rPr>
      </w:pPr>
    </w:p>
    <w:p>
      <w:pPr>
        <w:keepNext w:val="0"/>
        <w:keepLines w:val="0"/>
        <w:pageBreakBefore w:val="0"/>
        <w:widowControl/>
        <w:kinsoku w:val="0"/>
        <w:wordWrap/>
        <w:overflowPunct/>
        <w:topLinePunct w:val="0"/>
        <w:autoSpaceDE w:val="0"/>
        <w:autoSpaceDN w:val="0"/>
        <w:bidi w:val="0"/>
        <w:adjustRightInd w:val="0"/>
        <w:snapToGrid w:val="0"/>
        <w:spacing w:line="570" w:lineRule="exact"/>
        <w:ind w:left="0" w:right="0" w:firstLine="560" w:firstLineChars="200"/>
        <w:jc w:val="both"/>
        <w:textAlignment w:val="baseline"/>
        <w:rPr>
          <w:rFonts w:hint="default" w:ascii="Times New Roman" w:hAnsi="Times New Roman" w:eastAsia="方正小标宋简体" w:cs="Times New Roman"/>
          <w:color w:val="000000"/>
          <w:sz w:val="28"/>
          <w:szCs w:val="28"/>
        </w:rPr>
      </w:pPr>
      <w:r>
        <w:rPr>
          <w:rFonts w:hint="default" w:ascii="Times New Roman" w:hAnsi="Times New Roman" w:eastAsia="方正小标宋简体" w:cs="Times New Roman"/>
          <w:color w:val="000000"/>
          <w:sz w:val="28"/>
          <w:szCs w:val="28"/>
        </w:rPr>
        <w:t>政策文件二</w:t>
      </w:r>
    </w:p>
    <w:p>
      <w:pPr>
        <w:pStyle w:val="2"/>
        <w:rPr>
          <w:rFonts w:hint="default" w:ascii="Times New Roman" w:hAnsi="Times New Roman" w:cs="Times New Roman"/>
        </w:rPr>
      </w:pPr>
    </w:p>
    <w:p>
      <w:pPr>
        <w:keepNext w:val="0"/>
        <w:keepLines w:val="0"/>
        <w:pageBreakBefore w:val="0"/>
        <w:wordWrap/>
        <w:overflowPunct/>
        <w:topLinePunct w:val="0"/>
        <w:bidi w:val="0"/>
        <w:adjustRightInd w:val="0"/>
        <w:snapToGrid w:val="0"/>
        <w:spacing w:line="570" w:lineRule="exact"/>
        <w:ind w:right="0"/>
        <w:jc w:val="center"/>
        <w:rPr>
          <w:rFonts w:hint="default" w:ascii="Times New Roman" w:hAnsi="Times New Roman" w:eastAsia="方正小标宋_GBK" w:cs="Times New Roman"/>
          <w:color w:val="000000"/>
          <w:sz w:val="44"/>
          <w:szCs w:val="44"/>
        </w:rPr>
      </w:pPr>
      <w:r>
        <w:rPr>
          <w:rFonts w:hint="default" w:ascii="Times New Roman" w:hAnsi="Times New Roman" w:eastAsia="方正小标宋_GBK" w:cs="Times New Roman"/>
          <w:color w:val="000000"/>
          <w:sz w:val="44"/>
          <w:szCs w:val="44"/>
        </w:rPr>
        <w:t>财政专项扶贫资金绩效管理操作指南</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仿宋_GB2312" w:cs="Times New Roman"/>
          <w:color w:val="000000"/>
          <w:sz w:val="32"/>
          <w:szCs w:val="32"/>
        </w:rPr>
      </w:pP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为进一步推动扶贫项目资金绩效管理工作，提高扶贫项目资金使用效益，根据财政部办公厅、国务院扶贫办综合司、发展改革委办公厅、国家民委办公厅、农业农村部办公厅、林草局办公室联合印发的《财政专项扶贫资金绩效管理操作指南》（财办农〔2019〕68号），结合《新疆维吾尔自治区扶贫项目资金绩效管理办法》（新政办发〔2018〕143号）、《新疆维吾尔自治区县级扶贫项目资金绩效管理操作指南》（新财扶〔2018〕47号），以及自治区县级财政专项扶贫资金绩效管理实际，制定本操作指南。</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财政专项扶贫资金绩效管理，是指对使用财政专项扶贫资金的项目（包括统筹整合使用财政涉农资金）开展绩效目标管理、绩效运行监控、绩效评价及结果应用等全过程绩效管理工作。</w:t>
      </w:r>
    </w:p>
    <w:p>
      <w:pPr>
        <w:rPr>
          <w:rFonts w:hint="default"/>
        </w:rPr>
      </w:pP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第一节 绩效目标设定</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一、绩效目标设定程序</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预算资金申请单位根据县级脱贫攻坚规划和资源稟赋，精准谋划扶贫项目，在申报扶贫项目时，同步编报绩效目标。同时，按照县级预算编制规定和要求、脱贫攻坚规划等，科学合理测算扶贫项目资金需求，设定扶贫项目资金绩效目标，未明确绩效目标的项目不得纳入县级脱贫攻坚项目库。</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按照“村申报、乡审核、县审定”的扶贫项目申报程序，村级或者乡镇需要向预算资金申请单位提供绩效目标相关信息，行业部门要加强对扶贫项目资金绩效目标论证审核，确保扶贫项目资金绩效目标科学、准确、合理。</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二、绩效目标设定要求</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1.指向明确。</w:t>
      </w:r>
      <w:r>
        <w:rPr>
          <w:rFonts w:hint="default" w:ascii="Times New Roman" w:hAnsi="Times New Roman" w:eastAsia="方正仿宋_GBK" w:cs="Times New Roman"/>
          <w:sz w:val="32"/>
          <w:szCs w:val="32"/>
          <w:highlight w:val="none"/>
        </w:rPr>
        <w:t>扶贫项目资金绩效目标与预算资金申请单位的工作职责、脱贫攻坚任务紧密相关，清晰反映项目的核心产出和效果，力求精简准确、重点突出。</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2.实化量化。</w:t>
      </w:r>
      <w:r>
        <w:rPr>
          <w:rFonts w:hint="default" w:ascii="Times New Roman" w:hAnsi="Times New Roman" w:eastAsia="方正仿宋_GBK" w:cs="Times New Roman"/>
          <w:sz w:val="32"/>
          <w:szCs w:val="32"/>
          <w:highlight w:val="none"/>
        </w:rPr>
        <w:t>绩效目标应细化量化为绩效指标（绩效目标一般是指预期达到的产出和效果，采用定性方式进行概括描述；绩效指标是对年度目标的细化和量化，包括指标内容及指标值），绩效指标应尽量进行定量表述，量化数据应易于获取。不能以量化形式表述的，可采用定性表述，但要具有可衡量性。</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3.合理可行。</w:t>
      </w:r>
      <w:r>
        <w:rPr>
          <w:rFonts w:hint="default" w:ascii="Times New Roman" w:hAnsi="Times New Roman" w:eastAsia="方正仿宋_GBK" w:cs="Times New Roman"/>
          <w:sz w:val="32"/>
          <w:szCs w:val="32"/>
          <w:highlight w:val="none"/>
        </w:rPr>
        <w:t>绩效目标应符合客观实际，综合考虑成本和效益对比，能够在期限内如期实现。绩效目标应与计划期内的任务数或计划数相对应，与预算确定的投资额或资金量相匹配。绩效目标应具有可行性，对完成任务目标具有约束力，不宜过高或过低。</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4.聚焦精准。</w:t>
      </w:r>
      <w:r>
        <w:rPr>
          <w:rFonts w:hint="default" w:ascii="Times New Roman" w:hAnsi="Times New Roman" w:eastAsia="方正仿宋_GBK" w:cs="Times New Roman"/>
          <w:sz w:val="32"/>
          <w:szCs w:val="32"/>
          <w:highlight w:val="none"/>
        </w:rPr>
        <w:t>扶贫项目资金绩效目标应体现建档立卡贫困人口受益程度，准确反映带动贫困人口数和贫困人口收入增加情况，以及脱贫攻坚项目库建设情况，项目资金拨付情况等。</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三、绩效目标填报参考模板</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预算资金申请单位根据扶贫项目实施内容和预期产生效益情况，参照扶贫项目资金绩效目标申报模板（见附件2-1、2-2、2-3、2-4、2-5)编报扶贫项目资金绩效目标申报表（见附件3-1)，具体填报内容可参考填报说明（见附件3-2），。县级扶贫开发领导小组，可根据县域实际情况，组织相关行业部门对绩效目标模板进行修改、完善，形成适合本县实际情况的绩效目标框架。</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第二节 绩效目标审核</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一、绩效目标审核程序</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县级财政部门牵头，会同扶贫部门及行业主管部门，在年度预算编制环节，依据国家相关政策及脱贫攻坚规划，组织对预算资金申请单位编报的扶贫项目资金绩效目标进行审核（可委托第三方或绩效目标审核专家参与评审），审核结果报县级扶贫开发领导小组审定，作为预算安排或资金分配的重要依据。</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每年11月底前根据脱贫攻坚工作任务和提前下达到县的资金额度，从项目库中择优选择相关项目，编制下一年度项目计划。纳入年度项目计划的项目由预算资金申请单位及项目主管部门编制绩效目标，进行预算申报，财政部门对预算资金规模和绩效目标进行审核并安排预算。贫困县要做好与财政涉农资金统筹整合方案的衔接。</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二、绩效目标审核要求</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1.合规性审核。</w:t>
      </w:r>
      <w:r>
        <w:rPr>
          <w:rFonts w:hint="default" w:ascii="Times New Roman" w:hAnsi="Times New Roman" w:eastAsia="方正仿宋_GBK" w:cs="Times New Roman"/>
          <w:sz w:val="32"/>
          <w:szCs w:val="32"/>
          <w:highlight w:val="none"/>
        </w:rPr>
        <w:t>具体包括扶贫项目是否符合财政专项扶贫资金支持范围。财政专项扶贫资金支持范围依照各级财政专项扶贫资金管理办法执行。如中央财政专项扶贫资金支持贫困地区围绕培育和壮大特色产业、改善小型公益性生产生活设施条件、增强贫困人口自我发展能力和抵御风险能力、“雨露计划”等方面。</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2.完整性审核。</w:t>
      </w:r>
      <w:r>
        <w:rPr>
          <w:rFonts w:hint="default" w:ascii="Times New Roman" w:hAnsi="Times New Roman" w:eastAsia="方正仿宋_GBK" w:cs="Times New Roman"/>
          <w:sz w:val="32"/>
          <w:szCs w:val="32"/>
          <w:highlight w:val="none"/>
        </w:rPr>
        <w:t>具体包括规范完整性和明确清晰性。其中规范完整性重点审核绩效目标填报格式是否规范，内容是否完整、准确、详实，是否缺项、错项（如缺少项目资金情况、定量指标缺少指标值、年度目标未填写、金额单位不一致等）；明确清晰性重点审核绩效目标是否能够反映项目主要情况，是否对项目预期产出和效果进行了充分、恰当的描述。</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2"/>
          <w:szCs w:val="32"/>
        </w:rPr>
        <w:t>3.相关性审核。</w:t>
      </w:r>
      <w:r>
        <w:rPr>
          <w:rFonts w:hint="default" w:ascii="Times New Roman" w:hAnsi="Times New Roman" w:eastAsia="方正仿宋_GBK" w:cs="Times New Roman"/>
          <w:sz w:val="32"/>
          <w:szCs w:val="32"/>
          <w:highlight w:val="none"/>
        </w:rPr>
        <w:t>具体包括目标相关性和指标科学性。其中目标相关性重点审核绩效目标与部门（单位）职能以及县级脱贫攻坚规划是否密切相关；指标科学性重点审核绩效指标是否全面、充分、细化、量化，难以量化的，定性描述是否充分、具体；是否选取了最能体现总体目标实现程度的关键指标并明确了具体指标值。</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4.适当性审核。</w:t>
      </w:r>
      <w:r>
        <w:rPr>
          <w:rFonts w:hint="default" w:ascii="Times New Roman" w:hAnsi="Times New Roman" w:eastAsia="方正仿宋_GBK" w:cs="Times New Roman"/>
          <w:sz w:val="32"/>
          <w:szCs w:val="32"/>
          <w:highlight w:val="none"/>
        </w:rPr>
        <w:t>具体包括绩效合理性和资金匹配性。其中绩效合理性重点审核预期绩效是否显著，是否符合行业正常水平或事业发展规律；资金匹配性重点审核绩效目标与项目资金量、使用方向等是否匹配，在既定资金规模下，绩效目标是否过高或过低；或要完成既定绩效目标，资金规模是否过大或过小。</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color w:val="000000"/>
          <w:sz w:val="32"/>
          <w:szCs w:val="32"/>
        </w:rPr>
        <w:t>5.可行性审核。</w:t>
      </w:r>
      <w:r>
        <w:rPr>
          <w:rFonts w:hint="default" w:ascii="Times New Roman" w:hAnsi="Times New Roman" w:eastAsia="方正仿宋_GBK" w:cs="Times New Roman"/>
          <w:sz w:val="32"/>
          <w:szCs w:val="32"/>
          <w:highlight w:val="none"/>
        </w:rPr>
        <w:t>具体包括实现可能性和条件充分性。其中实现可能性重点关注绩效目标是否经过充分调查研究、论证和合理测算，实现的可能性是否充分；条件充分性重点关注项目实施方案是否合理，项目实施单位的组织实施能力和条件是否充分，内部控制是否规范，风险防控是否准备到位,管理制度是否健全。</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三、绩效目标审核参考模板</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绩效目标审核内容及分值确定见参考模板（详见附件3-3）。各县可根据实际情况，在遵循总体要求的前提下，对绩效目标审核表进行修改、完善，形成符合本县实际的绩效目标审核表。</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四、绩效目标审核结果</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绩效目标审核结果分为“通过”“不通过”两个等次。其中，审核得分在85分及以上的为“通过”，可直接安排预算；85分以下的为“不通过”，报经县级扶贫开发领导小组审批后退回部门，对项目绩效目标进行完善后，重新申报预算。审核通过并安排预算的扶贫项目，预算资金申请单位要将扶贫项目资金绩效目标报送县级扶贫开发领导小组备案，并编入本部门预算依法予以公开。</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第三节 绩效目标批复</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一、绩效目标批复</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纳入年初预算的扶贫项目经县人代会批准后，县级财政部门应于20日内将扶贫项目资金绩效目标随同部门预算一同批复至预算资金申请单位。年度中间，县级收到上级转移支付和本级预算追加的财政专项扶贫资金，按照相关程序批复绩效目标，并随同资金指标一同下达。县级财政部门应当将批复扶贫项目资金绩效目标按照规定程序报送地州市级、自治区级财政和扶贫部门备案。</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二、绩效目标调整</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扶贫项目资金绩效目标批复后，原则上不作调整。预算执行中因特殊原因确需调整的，按规定程序办理。</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三、绩效目标公开</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rPr>
      </w:pPr>
      <w:r>
        <w:rPr>
          <w:rFonts w:hint="default" w:ascii="Times New Roman" w:hAnsi="Times New Roman" w:eastAsia="方正仿宋_GBK" w:cs="Times New Roman"/>
          <w:sz w:val="32"/>
          <w:szCs w:val="32"/>
          <w:highlight w:val="none"/>
        </w:rPr>
        <w:t>预算资金申请单位应在收到批复后20日内将扶贫项目资金绩效目标在政府网站进行公开。</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第四节 绩效运行监控</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一、绩效运行监控程序及要求</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预算执行中，预算资金申请单位应实时对本年度实施的扶贫项目进行跟踪监控，重点对项目预算和绩效运行情况进行跟踪分析；县级扶贫、财政部门应对重点项目或重点区域资金进行监控。</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二、绩效运行监控参考模板</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仿宋_GB2312" w:cs="Times New Roman"/>
          <w:color w:val="000000"/>
          <w:sz w:val="32"/>
          <w:szCs w:val="32"/>
        </w:rPr>
      </w:pPr>
      <w:r>
        <w:rPr>
          <w:rFonts w:hint="default" w:ascii="Times New Roman" w:hAnsi="Times New Roman" w:eastAsia="方正仿宋_GBK" w:cs="Times New Roman"/>
          <w:sz w:val="32"/>
          <w:szCs w:val="32"/>
          <w:highlight w:val="none"/>
        </w:rPr>
        <w:t>在绩效运行监控过程中，预算资金申请单位每年定期组织项目实施单位开展绩效运行监控工作，如实准确填报绩效运行监控表（见附件4-1)，具体填报内容可参考填报说明（见附件4-2）。各县可根据实际情况，在遵循总体要求的前提下，对绩效运行监控形式、方式、频次、扶贫项目比例等进行设定，形成符合当地实际的绩效运行监控模式。</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 绩效运行监控结果</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预算资金申请单位应及时将扶贫资金项目绩效运行监控结果报送扶贫、财政部门，县级扶贫、财政部门要加强监控结果应用，对项目资金实际执行与绩效目标偏离较大的，要求预算资金申请单位及时予以纠正。问题严重的，县级财政部门应当及时收回或暂缓拨付财政资金。</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第五节  绩效评价</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一、绩效自评</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楷体_GB2312" w:cs="Times New Roman"/>
          <w:b/>
          <w:color w:val="000000"/>
          <w:sz w:val="32"/>
          <w:szCs w:val="32"/>
        </w:rPr>
      </w:pPr>
      <w:r>
        <w:rPr>
          <w:rFonts w:hint="default" w:ascii="Times New Roman" w:hAnsi="Times New Roman" w:eastAsia="楷体_GB2312" w:cs="Times New Roman"/>
          <w:b/>
          <w:color w:val="000000"/>
          <w:sz w:val="32"/>
          <w:szCs w:val="32"/>
        </w:rPr>
        <w:t>（一）绩效自评程序及要求。</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扶贫项目实施完成后，预算资金申请单位应及时组织项目实施单位开展绩效自评，年度预算执行终了，应完成对本年度所有实施的项目绩效自评（对跨年度的重大扶贫项目，要开展阶段性评价，实现全周期跟踪绩效评价），预算资金申请单位对自评结果负主体责任。</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楷体_GB2312" w:cs="Times New Roman"/>
          <w:b/>
          <w:color w:val="000000"/>
          <w:sz w:val="32"/>
          <w:szCs w:val="32"/>
        </w:rPr>
      </w:pPr>
      <w:r>
        <w:rPr>
          <w:rFonts w:hint="default" w:ascii="Times New Roman" w:hAnsi="Times New Roman" w:eastAsia="楷体_GB2312" w:cs="Times New Roman"/>
          <w:b/>
          <w:color w:val="000000"/>
          <w:sz w:val="32"/>
          <w:szCs w:val="32"/>
        </w:rPr>
        <w:t>（二）绩效自评参考模板。</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预算资金申请单位应根据批复的项目绩效目标，填报项目绩效目标自评表（见附件5-1)，并认真总结形成本单位财政专项扶贫资金绩效自评总结报告。各县可根据实际情况，在遵循总体要求的前提下，对绩效目标自评内容、模板及方式等进行完善，形成符合本县实际情况的绩效自评模式。</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t>1.绩效自评表填报注意事项：</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一级指标分值设置为：产出指标50分、效益指标30分、满意度指标10分、预算资金执行率10分，上述权重可根据项目实际情况进行适当调整，但加总后应等于100分。预算资金申请单位可根据各项指标重要程度确定三级指标的分值。得分最高不能超过该指标分值上限。</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(2)定性指标根据指标完成情况分为：达成预期指标、部分达成预期指标并具有一定效果、未达成预期指标且效果较差三档，分别按照该指标对应分值区间100%-80%(含80%)、80%-60%(含60%)、60%-0%合理确定得分。</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(3)定量指标若为正向指标（即指标值为&gt;*) , 则得分计算方法应用全年实际值/年度指标值*该指标分值；若定量指标为反向指标（即指标值为&lt;*)，则得分计算方法应用年度指标值/全年实际值*该指标分值；定量指标得分最高不得超过该指标分值上限。</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绩效自评报告：预算资金申请单位应根据扶贫项目资金绩效目标自评表及项目绩效支撑材料，形成本单位财政专项扶贫资金绩效自评总结报告。报告内容应包括绩效目标分解下达情况、绩效自评工作开展情况、绩效目标自评完成情况分析、偏离绩效目标的原因和下一步改进措施、绩效自评结果拟应用和公开情况等内容。（参考提纲见附件5-2）</w:t>
      </w:r>
    </w:p>
    <w:p>
      <w:pPr>
        <w:keepNext w:val="0"/>
        <w:keepLines w:val="0"/>
        <w:pageBreakBefore w:val="0"/>
        <w:wordWrap/>
        <w:overflowPunct/>
        <w:topLinePunct w:val="0"/>
        <w:bidi w:val="0"/>
        <w:adjustRightInd w:val="0"/>
        <w:snapToGrid w:val="0"/>
        <w:spacing w:line="570" w:lineRule="exact"/>
        <w:ind w:left="0" w:right="0" w:firstLine="643" w:firstLineChars="200"/>
        <w:jc w:val="both"/>
        <w:rPr>
          <w:rFonts w:hint="default" w:ascii="Times New Roman" w:hAnsi="Times New Roman" w:eastAsia="楷体_GB2312" w:cs="Times New Roman"/>
          <w:b/>
          <w:color w:val="000000"/>
          <w:sz w:val="32"/>
          <w:szCs w:val="32"/>
        </w:rPr>
      </w:pPr>
      <w:r>
        <w:rPr>
          <w:rFonts w:hint="default" w:ascii="Times New Roman" w:hAnsi="Times New Roman" w:eastAsia="楷体_GB2312" w:cs="Times New Roman"/>
          <w:b/>
          <w:color w:val="000000"/>
          <w:sz w:val="32"/>
          <w:szCs w:val="32"/>
        </w:rPr>
        <w:t>（三）绩效自评抽查。</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在预算资金申请单位全面绩效自评基础上，县级财政牵头，会同扶贫部门及审计部门，对预算资金申请单位绩效自评结果进行抽查，抽查项目数量覆盖面不低于10%。抽查主要围绕绩效自评结果真实性、全面性、合理性等方面开展，并将抽查结果及时反馈至预算资金申请单位并督促整改。</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二、绩效评价</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县级扶贫部门牵头，会同财政部门根据实际需要，每年选择重点扶贫项目和重点区域资金组织开展绩效评价（可采取委托第三方形式），形成绩效评价报告。每年绩效评价时，要抽取部分以前年度扶贫项目，对其进行持续跟踪评价，重点关注扶贫项目资金效益指标和满意度指标的持续效益。其中，经营性扶贫项目重点评价其带贫减贫、收益分配、保值增值和风险管控等；公益性扶贫项目重点评价其带动效应和运营管护情况等。</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第六节  绩效评价结果应用</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一、结果应用</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1.县级财政部门、扶贫部门应将绩效自评抽查结果、绩效评价结果等及时报县级扶贫开发领导小组，作为脱贫攻坚决策和分配财政专项扶贫资金的重要参考依据。</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2.绩效自评抽查结果以及重点绩效评价结果应当作为预算资金申请单位改进管理、调整财政支出方向、安排以后年度预算的重要参考依据。</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二、结果公开</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1.预算资金申请单位要将绩效自评结果编入本部门决算并依法予以公开。</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2.县级财政部门要将重点绩效评价结果编入本级决算并依法予以公开。</w:t>
      </w: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rPr>
          <w:rFonts w:hint="default"/>
        </w:rPr>
      </w:pPr>
    </w:p>
    <w:p>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第七部分 本级汇总的预算绩效情况说明</w:t>
      </w: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Times New Roman" w:hAnsi="Times New Roman" w:eastAsia="方正仿宋_GBK" w:cs="Times New Roman"/>
          <w:b/>
          <w:bCs/>
          <w:color w:val="auto"/>
          <w:sz w:val="32"/>
          <w:szCs w:val="32"/>
          <w:highlight w:val="none"/>
          <w:lang w:val="en-US" w:eastAsia="zh-CN"/>
        </w:rPr>
      </w:pPr>
      <w:r>
        <w:rPr>
          <w:rFonts w:hint="default" w:ascii="Times New Roman" w:hAnsi="Times New Roman" w:eastAsia="方正仿宋_GBK" w:cs="Times New Roman"/>
          <w:b/>
          <w:bCs/>
          <w:color w:val="auto"/>
          <w:sz w:val="32"/>
          <w:szCs w:val="32"/>
          <w:highlight w:val="none"/>
          <w:lang w:val="en-US" w:eastAsia="zh-CN"/>
        </w:rPr>
        <w:t>中共泽普县委、县人民政府：</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仿宋_GB2312" w:cs="Times New Roman"/>
          <w:color w:val="000000"/>
          <w:sz w:val="32"/>
          <w:szCs w:val="32"/>
          <w:lang w:val="en-US" w:eastAsia="zh-CN"/>
        </w:rPr>
      </w:pPr>
      <w:r>
        <w:rPr>
          <w:rFonts w:hint="default" w:ascii="Times New Roman" w:hAnsi="Times New Roman" w:eastAsia="方正仿宋_GBK" w:cs="Times New Roman"/>
          <w:sz w:val="32"/>
          <w:szCs w:val="32"/>
          <w:highlight w:val="none"/>
          <w:lang w:val="en-US" w:eastAsia="zh-CN"/>
        </w:rPr>
        <w:t>为全面推进预算绩效管理，建立健全绩效评价机制，服务预算编制及预算执行，有效推动财政资金聚力增效，提高泽普县公共服务供给质量，增强政府公信力和执行力，进一步发挥绩效评价对财政预算资金使用管理的导向和激励作用。按照《自治区党委 自治区人民政府关于全面实施预算绩效管理的实施意见》（新党发〔2018〕30号）文件要求，泽普县全力推进预算绩效管理工作。现将泽普县2025年度全面实施预算绩效管理工作情况汇报如下：</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一、总体工作开展情况</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2025年泽普县在全面实施预算绩效管理工作方面取得了显著进展，通过不断完善制度、加强监控、强化评价等一系列措施，有效提高了财政资金的使用效益和管理水平。依据上级相关政策要求和本县实际情况，进一步细化和完善了预算绩效管理制度，明确了各部门在预算绩效管理中的职责和工作流程，为全面实施预算绩效管理提供了坚实的制度保障。通过全面实施预算绩效管理，将财政支出全部纳入绩效管理范围。</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一）项目绩效目标及事前绩效评估完成情况：完成全县65个一级预算单位整体目标设置，和37个巩固拓展脱贫攻坚成果同乡村振兴有效衔接资金项目、270个一般公共预算资金项目、1个国有资本经营项目、4个社会保险基金项目、10个涉密项目，共计322个项目的2025年绩效目标设置上报工作；完成了1个新增项目事前绩效评估报告编写上报工作。</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二）重点月绩效监控完成情况：5月共计完成37个巩固拓展脱贫攻坚成果同乡村振兴有效衔接资金项目、205个特定目标类支出项目，共计242个项目的绩效监控工作；6月共计完成65个部门整体支出绩效监控工作；8月共计完成37个巩固拓展脱贫攻坚成果同乡村振兴有效衔接资金项目、285个特定目标类项目支出项目，共计322个项目的绩效监控工作。</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三）2025年绩效自评工作完成情况：完成全县65个一级预算单位2024年度整体支出绩效自评工作；完成全县28个巩固拓展脱贫攻坚成果同乡村振兴有效衔接资金项目、439个一般公共预算资金项目、1个政府性基金项目、1个国有资本经营项目、12个社会保险基金项目、11个政府债券资金项目、26个涉密项目，共计518个项目的2024年绩效自评上报工作。</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四）2024年重点项目绩效评价及公开情况：按照“以点带面，全面推开”的原则，根据自治区财政厅“不少于6项，重点项目绩效评价作为自治区对各地区预算绩效管理考核的一项重点内容”的工作要求，结合2024年预算项目安排及项目实施情况，从公共服务、环境改造、基础设施建设等方面确定了6个2024年重点项目开展绩效评价及出具评价报告，并在同级政府门户网站对重点项目绩效评价报告进行了公开。</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二、具体工作措施</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（一）制度建设方面：</w:t>
      </w:r>
      <w:r>
        <w:rPr>
          <w:rFonts w:hint="default" w:ascii="Times New Roman" w:hAnsi="Times New Roman" w:eastAsia="方正仿宋_GBK" w:cs="Times New Roman"/>
          <w:sz w:val="32"/>
          <w:szCs w:val="32"/>
          <w:highlight w:val="none"/>
          <w:lang w:val="en-US" w:eastAsia="zh-CN"/>
        </w:rPr>
        <w:t>把制度建设作为开展预算绩效管理工作的关键环节，组织预算单位深入学习并贯彻执行相关预算制度和绩效评价制度。通过多种形式对各类制度及文件的学习，明确了预算绩效管理的相关理念、主要内容和核心工作要求。</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（二）绩效工作信息化建设方面：</w:t>
      </w:r>
      <w:r>
        <w:rPr>
          <w:rFonts w:hint="default" w:ascii="Times New Roman" w:hAnsi="Times New Roman" w:eastAsia="方正仿宋_GBK" w:cs="Times New Roman"/>
          <w:sz w:val="32"/>
          <w:szCs w:val="32"/>
          <w:highlight w:val="none"/>
          <w:lang w:val="en-US" w:eastAsia="zh-CN"/>
        </w:rPr>
        <w:t>加大对预算绩效管理信息化建设的投入，不断完善信息系统的功能，提高数据的准确性和及时性，为预算绩效管理提供有力的技术支持。同时结合工作实际，建立了预算绩效管理评价工作流程，并针对流程中的每个步骤，完善相应的印证资料，为预算绩效管理评价工作的规范性及完整性打下了坚实基础。</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（三）指标体系建设方面：</w:t>
      </w:r>
      <w:r>
        <w:rPr>
          <w:rFonts w:hint="default" w:ascii="Times New Roman" w:hAnsi="Times New Roman" w:eastAsia="方正仿宋_GBK" w:cs="Times New Roman"/>
          <w:sz w:val="32"/>
          <w:szCs w:val="32"/>
          <w:highlight w:val="none"/>
          <w:lang w:val="en-US" w:eastAsia="zh-CN"/>
        </w:rPr>
        <w:t>按照自治区下发的绩效评价共性指标体系，合理确定适合项目特点的绩效评价指标，确保指标的时效性和准确性，为真实评价项目的实际情况提供了保证。</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（四）绩效监控及结果应用方面：</w:t>
      </w:r>
      <w:r>
        <w:rPr>
          <w:rFonts w:hint="default" w:ascii="Times New Roman" w:hAnsi="Times New Roman" w:eastAsia="方正仿宋_GBK" w:cs="Times New Roman"/>
          <w:sz w:val="32"/>
          <w:szCs w:val="32"/>
          <w:highlight w:val="none"/>
          <w:lang w:val="en-US" w:eastAsia="zh-CN"/>
        </w:rPr>
        <w:t>在日常工作中，加强对预算绩效的监控力度，将绩效管理贯穿于预算编制、监督、执行、评价全过程。通过重点月的监控工作开展情况，及时发现预算执行中的问题，并采取相应的有效措施予以纠正。同时强化绩效评价结果的运用，将其作为年度预算调整、资金分配和以后年度预算安排的重要依据。通过树立“花钱必问效、无效必问责”的绩效理念，进一步提高了财政资金的使用效率和效益。</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三、取得的工作成效</w:t>
      </w:r>
    </w:p>
    <w:p>
      <w:pPr>
        <w:pStyle w:val="2"/>
        <w:keepNext w:val="0"/>
        <w:keepLines w:val="0"/>
        <w:pageBreakBefore w:val="0"/>
        <w:widowControl w:val="0"/>
        <w:kinsoku/>
        <w:wordWrap/>
        <w:overflowPunct/>
        <w:topLinePunct w:val="0"/>
        <w:autoSpaceDE/>
        <w:autoSpaceDN/>
        <w:bidi w:val="0"/>
        <w:adjustRightInd/>
        <w:snapToGrid/>
        <w:spacing w:before="0" w:after="0" w:line="57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楷体_GB2312" w:cs="Times New Roman"/>
          <w:b/>
          <w:color w:val="000000"/>
          <w:kern w:val="2"/>
          <w:sz w:val="32"/>
          <w:szCs w:val="32"/>
          <w:lang w:val="en-US" w:eastAsia="zh-CN" w:bidi="ar-SA"/>
        </w:rPr>
        <w:t>（一）预算绩效管理意识进一步提升</w:t>
      </w:r>
      <w:r>
        <w:rPr>
          <w:rFonts w:hint="eastAsia" w:eastAsia="楷体_GB2312" w:cs="Times New Roman"/>
          <w:b/>
          <w:color w:val="000000"/>
          <w:kern w:val="2"/>
          <w:sz w:val="32"/>
          <w:szCs w:val="32"/>
          <w:lang w:val="en-US" w:eastAsia="zh-CN" w:bidi="ar-SA"/>
        </w:rPr>
        <w:t>:</w:t>
      </w:r>
      <w:r>
        <w:rPr>
          <w:rFonts w:hint="default" w:ascii="Times New Roman" w:hAnsi="Times New Roman" w:eastAsia="方正仿宋_GBK" w:cs="Times New Roman"/>
          <w:kern w:val="2"/>
          <w:sz w:val="32"/>
          <w:szCs w:val="32"/>
          <w:highlight w:val="none"/>
          <w:lang w:val="en-US" w:eastAsia="zh-CN" w:bidi="ar-SA"/>
        </w:rPr>
        <w:t>通过全面实施预算绩效管理工作，各部门预算单位的预算绩效管理意识显著增强，大家逐渐认识到绩效管理工作的重要性，更加注重预算编制的严谨性和准确性，以及绩效指标设置的明确性和合理性。</w:t>
      </w:r>
    </w:p>
    <w:p>
      <w:pPr>
        <w:pStyle w:val="2"/>
        <w:keepNext w:val="0"/>
        <w:keepLines w:val="0"/>
        <w:pageBreakBefore w:val="0"/>
        <w:widowControl w:val="0"/>
        <w:kinsoku/>
        <w:wordWrap/>
        <w:overflowPunct/>
        <w:topLinePunct w:val="0"/>
        <w:autoSpaceDE/>
        <w:autoSpaceDN/>
        <w:bidi w:val="0"/>
        <w:adjustRightInd/>
        <w:snapToGrid/>
        <w:spacing w:before="0" w:after="0" w:line="57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楷体_GB2312" w:cs="Times New Roman"/>
          <w:b/>
          <w:color w:val="000000"/>
          <w:kern w:val="2"/>
          <w:sz w:val="32"/>
          <w:szCs w:val="32"/>
          <w:lang w:val="en-US" w:eastAsia="zh-CN" w:bidi="ar-SA"/>
        </w:rPr>
        <w:t>（二）预算执行效率有效提高</w:t>
      </w:r>
      <w:r>
        <w:rPr>
          <w:rFonts w:hint="eastAsia" w:eastAsia="楷体_GB2312" w:cs="Times New Roman"/>
          <w:b/>
          <w:color w:val="000000"/>
          <w:kern w:val="2"/>
          <w:sz w:val="32"/>
          <w:szCs w:val="32"/>
          <w:lang w:val="en-US" w:eastAsia="zh-CN" w:bidi="ar-SA"/>
        </w:rPr>
        <w:t>:</w:t>
      </w:r>
      <w:r>
        <w:rPr>
          <w:rFonts w:hint="default" w:ascii="Times New Roman" w:hAnsi="Times New Roman" w:eastAsia="方正仿宋_GBK" w:cs="Times New Roman"/>
          <w:kern w:val="2"/>
          <w:sz w:val="32"/>
          <w:szCs w:val="32"/>
          <w:highlight w:val="none"/>
          <w:lang w:val="en-US" w:eastAsia="zh-CN" w:bidi="ar-SA"/>
        </w:rPr>
        <w:t>通过加强对预算执行的监控和管理，确保了各类财政资金的及时支付和合理使用。同时通过优化预算编制和提高预算编制的准确性，及安排项目的合理性，减少项目结余资金，提高了财政资金的使用效率。</w:t>
      </w:r>
    </w:p>
    <w:p>
      <w:pPr>
        <w:pStyle w:val="2"/>
        <w:keepNext w:val="0"/>
        <w:keepLines w:val="0"/>
        <w:pageBreakBefore w:val="0"/>
        <w:widowControl w:val="0"/>
        <w:kinsoku/>
        <w:wordWrap/>
        <w:overflowPunct/>
        <w:topLinePunct w:val="0"/>
        <w:autoSpaceDE/>
        <w:autoSpaceDN/>
        <w:bidi w:val="0"/>
        <w:adjustRightInd/>
        <w:snapToGrid/>
        <w:spacing w:before="0" w:after="0" w:line="570" w:lineRule="exact"/>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楷体_GB2312" w:cs="Times New Roman"/>
          <w:b/>
          <w:color w:val="000000"/>
          <w:kern w:val="2"/>
          <w:sz w:val="32"/>
          <w:szCs w:val="32"/>
          <w:lang w:val="en-US" w:eastAsia="zh-CN" w:bidi="ar-SA"/>
        </w:rPr>
        <w:t>（三）预算绩效评价工作质量进一步提升</w:t>
      </w:r>
      <w:r>
        <w:rPr>
          <w:rFonts w:hint="eastAsia" w:eastAsia="楷体_GB2312" w:cs="Times New Roman"/>
          <w:b/>
          <w:color w:val="000000"/>
          <w:kern w:val="2"/>
          <w:sz w:val="32"/>
          <w:szCs w:val="32"/>
          <w:lang w:val="en-US" w:eastAsia="zh-CN" w:bidi="ar-SA"/>
        </w:rPr>
        <w:t>:</w:t>
      </w:r>
      <w:r>
        <w:rPr>
          <w:rFonts w:hint="default" w:ascii="Times New Roman" w:hAnsi="Times New Roman" w:eastAsia="方正仿宋_GBK" w:cs="Times New Roman"/>
          <w:kern w:val="2"/>
          <w:sz w:val="32"/>
          <w:szCs w:val="32"/>
          <w:highlight w:val="none"/>
          <w:lang w:val="en-US" w:eastAsia="zh-CN" w:bidi="ar-SA"/>
        </w:rPr>
        <w:t>通过全面推进预算绩效评价管理工作，实现了各类财政资金绩效目标、绩效监控、绩效自评的全覆盖。同时通过选择部分单位绩效自评项目抽查和开展重点项目绩效评价，进一步提高了预算绩效评价工作的质量。</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四、存在的问题及改进措施</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(一)绩效管理意识有待进一步提升</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部分预算单位对于预算绩效管理工作的重要性认识不足，仍然存在预算编制不严谨、绩效指标设置不明确等问题。今后将继续加强宣传和培训力度，提高各预算单位的预算绩效管理意识。</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（二）预算执行有待进一步强化</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部分项目存在支付进度偏慢、预算执行率偏低等问题。今后将加强预算执行监控和执行进度管理力度，确保资金支付和项目执行进度相匹配，发挥资金的使用效益。</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（三）绩效评价结果运用不充分</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目前，虽然预算绩效管理在绩效目标、绩效评价、绩效监控、反馈应用等环节做了大量工作，却在评价结果应用方面，效果还未达到理想状态。相关的激励约束机制需要完善，评价结果与以后年度的预算安排还未有机结合，优化、促进预算管理的作用尚未充分体现。</w:t>
      </w:r>
    </w:p>
    <w:p>
      <w:pPr>
        <w:keepNext w:val="0"/>
        <w:keepLines w:val="0"/>
        <w:pageBreakBefore w:val="0"/>
        <w:wordWrap/>
        <w:overflowPunct/>
        <w:topLinePunct w:val="0"/>
        <w:bidi w:val="0"/>
        <w:adjustRightInd w:val="0"/>
        <w:snapToGrid w:val="0"/>
        <w:spacing w:line="570" w:lineRule="exact"/>
        <w:ind w:left="0" w:right="0" w:firstLine="640" w:firstLineChars="200"/>
        <w:jc w:val="both"/>
        <w:rPr>
          <w:rFonts w:hint="default" w:ascii="Times New Roman" w:hAnsi="Times New Roman" w:eastAsia="黑体" w:cs="Times New Roman"/>
          <w:color w:val="000000"/>
          <w:sz w:val="32"/>
          <w:szCs w:val="32"/>
          <w:lang w:val="zh-CN" w:eastAsia="zh-CN"/>
        </w:rPr>
      </w:pPr>
      <w:r>
        <w:rPr>
          <w:rFonts w:hint="default" w:ascii="Times New Roman" w:hAnsi="Times New Roman" w:eastAsia="黑体" w:cs="Times New Roman"/>
          <w:color w:val="000000"/>
          <w:sz w:val="32"/>
          <w:szCs w:val="32"/>
          <w:lang w:val="en-US" w:eastAsia="zh-CN"/>
        </w:rPr>
        <w:t>五、下一步工作计划</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（一）强化绩效管理考核</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根据《中共喀什地委、喀什行政公署关于全面实施预算绩效管理的实施意见》要求，将预算绩效管理工作纳入政府绩效和干部政绩考核体系，作为领导干部选拔任用、公务员考核的重要参考内容，建立考核结果通报制度，对工作成效明显的部门给予表彰，对工作推进不力的进行约谈并责令整改，形成“花钱必问效、无效必问责”的工作理念，审计部门负责依法对预算绩效管理情况开展审计监督，对发现的违纪、违法问题线索，及时移送纪检监察机关。</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（二）加强培训工作</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积极促进形成高度统一的预算绩效管理思想，统一标准，严格要求，增强其作为绩效管理主体的职责意识，加强预算绩效管理并强化绩效目标管理的方式，认真学习，从严管理，为以后的绩效管理打好坚实的基础，同时做好后续的监控及自评等相关业务的培训工作，提升工作效率。</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（三）强化结果运用，促进绩效管理提质增效</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结合自治区、喀什地区预算绩效管理工作考核要求，修改完善预算绩效管理工作考核办法，将各部门预算绩效管理工作情况纳入全县年度目标绩效考核中。按照“谁主管、谁使用、谁负责”的原则，提升预算单位的绩效责任主体意识，及时反馈评价结果，并跟踪整改落实情况。严格执行预算绩效单位自评、部门评价、财政部门核查和再评价的程序，加强事前绩效评估、绩效目标管理、绩效运行监控、绩效评价管理等预算绩效管理过程控制，提高绩效管理工作质量。</w:t>
      </w:r>
    </w:p>
    <w:p>
      <w:pPr>
        <w:keepNext w:val="0"/>
        <w:keepLines w:val="0"/>
        <w:pageBreakBefore w:val="0"/>
        <w:widowControl w:val="0"/>
        <w:kinsoku/>
        <w:wordWrap/>
        <w:overflowPunct/>
        <w:topLinePunct w:val="0"/>
        <w:autoSpaceDE/>
        <w:bidi w:val="0"/>
        <w:spacing w:line="620" w:lineRule="exact"/>
        <w:ind w:firstLine="643"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楷体_GB2312" w:cs="Times New Roman"/>
          <w:b/>
          <w:color w:val="000000"/>
          <w:sz w:val="32"/>
          <w:szCs w:val="32"/>
          <w:lang w:val="en-US" w:eastAsia="zh-CN"/>
        </w:rPr>
        <w:t>（四）推动绩效信息公开</w:t>
      </w:r>
      <w:r>
        <w:rPr>
          <w:rFonts w:hint="eastAsia" w:eastAsia="楷体_GB2312" w:cs="Times New Roman"/>
          <w:b/>
          <w:color w:val="000000"/>
          <w:sz w:val="32"/>
          <w:szCs w:val="32"/>
          <w:lang w:val="en-US" w:eastAsia="zh-CN"/>
        </w:rPr>
        <w:t>:</w:t>
      </w:r>
      <w:r>
        <w:rPr>
          <w:rFonts w:hint="default" w:ascii="Times New Roman" w:hAnsi="Times New Roman" w:eastAsia="方正仿宋_GBK" w:cs="Times New Roman"/>
          <w:sz w:val="32"/>
          <w:szCs w:val="32"/>
          <w:highlight w:val="none"/>
          <w:lang w:val="en-US" w:eastAsia="zh-CN"/>
        </w:rPr>
        <w:t>建立绩效信息公开制度，按照规定的程序和要求，及时公开预算绩效信息，加强对绩效信息的分析和利用，为政府决策和社会公众提供更加准确、全面的信息服务。</w:t>
      </w:r>
    </w:p>
    <w:p>
      <w:pPr>
        <w:pStyle w:val="7"/>
        <w:widowControl w:val="0"/>
        <w:numPr>
          <w:ilvl w:val="0"/>
          <w:numId w:val="0"/>
        </w:numPr>
        <w:snapToGrid w:val="0"/>
        <w:jc w:val="left"/>
        <w:rPr>
          <w:rFonts w:hint="default" w:ascii="Times New Roman" w:hAnsi="Times New Roman" w:cs="Times New Roman"/>
          <w:lang w:val="en-US" w:eastAsia="zh-Hans"/>
        </w:rPr>
      </w:pPr>
    </w:p>
    <w:p>
      <w:pPr>
        <w:pStyle w:val="2"/>
        <w:rPr>
          <w:rFonts w:hint="default"/>
          <w:lang w:val="en-US" w:eastAsia="zh-CN"/>
        </w:rPr>
      </w:pPr>
    </w:p>
    <w:p>
      <w:pPr>
        <w:keepNext w:val="0"/>
        <w:keepLines w:val="0"/>
        <w:pageBreakBefore w:val="0"/>
        <w:kinsoku/>
        <w:wordWrap/>
        <w:overflowPunct/>
        <w:topLinePunct w:val="0"/>
        <w:autoSpaceDE w:val="0"/>
        <w:autoSpaceDN w:val="0"/>
        <w:bidi w:val="0"/>
        <w:adjustRightInd/>
        <w:snapToGrid/>
        <w:spacing w:before="0" w:after="0" w:line="600" w:lineRule="exact"/>
        <w:ind w:right="0" w:rightChars="0" w:firstLine="643" w:firstLineChars="200"/>
        <w:jc w:val="both"/>
        <w:textAlignment w:val="auto"/>
        <w:rPr>
          <w:rFonts w:hint="default" w:ascii="Times New Roman" w:hAnsi="Times New Roman" w:eastAsia="方正小标宋_GBK" w:cs="Times New Roman"/>
          <w:b/>
          <w:sz w:val="32"/>
          <w:highlight w:val="none"/>
        </w:rPr>
      </w:pPr>
    </w:p>
    <w:p>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第八部分 其他情况说明</w:t>
      </w:r>
    </w:p>
    <w:p>
      <w:pPr>
        <w:keepNext w:val="0"/>
        <w:keepLines w:val="0"/>
        <w:pageBreakBefore w:val="0"/>
        <w:widowControl w:val="0"/>
        <w:kinsoku/>
        <w:wordWrap/>
        <w:overflowPunct/>
        <w:topLinePunct w:val="0"/>
        <w:autoSpaceDE/>
        <w:bidi w:val="0"/>
        <w:spacing w:line="62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方正仿宋_GBK" w:cs="Times New Roman"/>
          <w:sz w:val="32"/>
          <w:szCs w:val="32"/>
          <w:highlight w:val="none"/>
          <w:lang w:val="en-US" w:eastAsia="zh-CN"/>
        </w:rPr>
        <w:t>暂无其他情况说明。</w:t>
      </w: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- 9 -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- 9 -</w:t>
                    </w:r>
                    <w:r>
                      <w:rPr>
                        <w:rFonts w:hint="eastAsia" w:ascii="宋体" w:hAnsi="宋体" w:eastAsia="宋体" w:cs="宋体"/>
                        <w:sz w:val="28"/>
                        <w:szCs w:val="28"/>
                      </w:rP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zSVju0AAAAAUBAAAPAAAAAAAAAAEAIAAAACIAAABk&#10;cnMvZG93bnJldi54bWxQSwECFAAUAAAACACHTuJAIyfhZ9UBAACwAwAADgAAAAAAAAABACAAAAAf&#10;AQAAZHJzL2Uyb0RvYy54bWxQSwUGAAAAAAYABgBZAQAAZgUAAAAA&#10;">
              <v:fill on="f" focussize="0,0"/>
              <v:stroke on="f" weight="0.5pt"/>
              <v:imagedata o:title=""/>
              <o:lock v:ext="edit" aspectratio="f"/>
              <v:textbox inset="0mm,0mm,0mm,0mm" style="mso-fit-shape-to-text:t;">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48162"/>
    <w:multiLevelType w:val="singleLevel"/>
    <w:tmpl w:val="84548162"/>
    <w:lvl w:ilvl="0" w:tentative="0">
      <w:start w:val="2"/>
      <w:numFmt w:val="chineseCounting"/>
      <w:suff w:val="nothing"/>
      <w:lvlText w:val="%1、"/>
      <w:lvlJc w:val="left"/>
      <w:rPr>
        <w:rFonts w:hint="eastAsia"/>
      </w:rPr>
    </w:lvl>
  </w:abstractNum>
  <w:abstractNum w:abstractNumId="1">
    <w:nsid w:val="AF7A5BA6"/>
    <w:multiLevelType w:val="singleLevel"/>
    <w:tmpl w:val="AF7A5BA6"/>
    <w:lvl w:ilvl="0" w:tentative="0">
      <w:start w:val="6"/>
      <w:numFmt w:val="chineseCounting"/>
      <w:suff w:val="space"/>
      <w:lvlText w:val="第%1部分"/>
      <w:lvlJc w:val="left"/>
      <w:rPr>
        <w:rFonts w:hint="eastAsia"/>
      </w:rPr>
    </w:lvl>
  </w:abstractNum>
  <w:abstractNum w:abstractNumId="2">
    <w:nsid w:val="D37D8669"/>
    <w:multiLevelType w:val="singleLevel"/>
    <w:tmpl w:val="D37D8669"/>
    <w:lvl w:ilvl="0" w:tentative="0">
      <w:start w:val="4"/>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62036EF5"/>
    <w:rsid w:val="00A016D5"/>
    <w:rsid w:val="00ED5986"/>
    <w:rsid w:val="015C5EB5"/>
    <w:rsid w:val="02484D7A"/>
    <w:rsid w:val="02B51B59"/>
    <w:rsid w:val="045C18E2"/>
    <w:rsid w:val="058E08E8"/>
    <w:rsid w:val="05F14414"/>
    <w:rsid w:val="06537744"/>
    <w:rsid w:val="06A217B7"/>
    <w:rsid w:val="06B52C32"/>
    <w:rsid w:val="06C70A28"/>
    <w:rsid w:val="07E41A1D"/>
    <w:rsid w:val="08443130"/>
    <w:rsid w:val="08560620"/>
    <w:rsid w:val="098008C3"/>
    <w:rsid w:val="0B794AED"/>
    <w:rsid w:val="0C3B3B7B"/>
    <w:rsid w:val="0C532B17"/>
    <w:rsid w:val="0CA743AC"/>
    <w:rsid w:val="0D604F4F"/>
    <w:rsid w:val="0D6B1241"/>
    <w:rsid w:val="0DB9531F"/>
    <w:rsid w:val="0E1A3B33"/>
    <w:rsid w:val="0E1B6343"/>
    <w:rsid w:val="102671C6"/>
    <w:rsid w:val="10976F47"/>
    <w:rsid w:val="11071E38"/>
    <w:rsid w:val="11C61148"/>
    <w:rsid w:val="11F337B1"/>
    <w:rsid w:val="12320851"/>
    <w:rsid w:val="14DC1B6D"/>
    <w:rsid w:val="16756C8B"/>
    <w:rsid w:val="184E2813"/>
    <w:rsid w:val="18774493"/>
    <w:rsid w:val="18F37DB7"/>
    <w:rsid w:val="190B182A"/>
    <w:rsid w:val="19E873BE"/>
    <w:rsid w:val="19FF5E4F"/>
    <w:rsid w:val="1A052F63"/>
    <w:rsid w:val="1A55309B"/>
    <w:rsid w:val="1AE44971"/>
    <w:rsid w:val="1BB24147"/>
    <w:rsid w:val="1C187951"/>
    <w:rsid w:val="1C404800"/>
    <w:rsid w:val="1DBC0763"/>
    <w:rsid w:val="1E750F42"/>
    <w:rsid w:val="20AE5727"/>
    <w:rsid w:val="20E00A75"/>
    <w:rsid w:val="22F97D63"/>
    <w:rsid w:val="242D021A"/>
    <w:rsid w:val="24821172"/>
    <w:rsid w:val="248633FB"/>
    <w:rsid w:val="25C42B75"/>
    <w:rsid w:val="264458BD"/>
    <w:rsid w:val="2649670E"/>
    <w:rsid w:val="2656013A"/>
    <w:rsid w:val="26620737"/>
    <w:rsid w:val="267F16A9"/>
    <w:rsid w:val="268545F5"/>
    <w:rsid w:val="27517173"/>
    <w:rsid w:val="28060F58"/>
    <w:rsid w:val="281C6C84"/>
    <w:rsid w:val="28E9655D"/>
    <w:rsid w:val="28F456A7"/>
    <w:rsid w:val="2A930A9D"/>
    <w:rsid w:val="2AF86598"/>
    <w:rsid w:val="2C9A023F"/>
    <w:rsid w:val="2CCF1BAF"/>
    <w:rsid w:val="2DAF3E40"/>
    <w:rsid w:val="2F0A6C71"/>
    <w:rsid w:val="2F955B05"/>
    <w:rsid w:val="30A3226D"/>
    <w:rsid w:val="30BD48BC"/>
    <w:rsid w:val="31093867"/>
    <w:rsid w:val="312C2A52"/>
    <w:rsid w:val="31DC4DAD"/>
    <w:rsid w:val="32002D36"/>
    <w:rsid w:val="32680CF8"/>
    <w:rsid w:val="327E2F1E"/>
    <w:rsid w:val="338C3812"/>
    <w:rsid w:val="34254E5C"/>
    <w:rsid w:val="35270760"/>
    <w:rsid w:val="35845A05"/>
    <w:rsid w:val="364D71B8"/>
    <w:rsid w:val="368133E8"/>
    <w:rsid w:val="373525E4"/>
    <w:rsid w:val="38DC7CD8"/>
    <w:rsid w:val="38E44455"/>
    <w:rsid w:val="38E726E0"/>
    <w:rsid w:val="3950463C"/>
    <w:rsid w:val="395B1482"/>
    <w:rsid w:val="3A792C8C"/>
    <w:rsid w:val="3A9931F9"/>
    <w:rsid w:val="3AB83781"/>
    <w:rsid w:val="3B705BA2"/>
    <w:rsid w:val="3C013570"/>
    <w:rsid w:val="3C17190D"/>
    <w:rsid w:val="3C2B6D87"/>
    <w:rsid w:val="3C2C1DDD"/>
    <w:rsid w:val="3D07146C"/>
    <w:rsid w:val="3D210F01"/>
    <w:rsid w:val="3D321B9A"/>
    <w:rsid w:val="3D5A4B31"/>
    <w:rsid w:val="3D897AA8"/>
    <w:rsid w:val="3E0A6EC5"/>
    <w:rsid w:val="3E3A030A"/>
    <w:rsid w:val="3E8D3686"/>
    <w:rsid w:val="3E971CA3"/>
    <w:rsid w:val="3EA42C1D"/>
    <w:rsid w:val="3EA97847"/>
    <w:rsid w:val="40A803B7"/>
    <w:rsid w:val="40C31E27"/>
    <w:rsid w:val="40F3651F"/>
    <w:rsid w:val="41383B1C"/>
    <w:rsid w:val="41DE4E43"/>
    <w:rsid w:val="42EB101F"/>
    <w:rsid w:val="43173ACA"/>
    <w:rsid w:val="43182454"/>
    <w:rsid w:val="439F381F"/>
    <w:rsid w:val="43CD6976"/>
    <w:rsid w:val="43FF544E"/>
    <w:rsid w:val="443D582E"/>
    <w:rsid w:val="44B852FF"/>
    <w:rsid w:val="44D06CEB"/>
    <w:rsid w:val="44F208A0"/>
    <w:rsid w:val="4522704B"/>
    <w:rsid w:val="459A1B0A"/>
    <w:rsid w:val="45FC57F0"/>
    <w:rsid w:val="466E6E55"/>
    <w:rsid w:val="46FC7277"/>
    <w:rsid w:val="4700508A"/>
    <w:rsid w:val="471E3A4F"/>
    <w:rsid w:val="475D585D"/>
    <w:rsid w:val="47D6123C"/>
    <w:rsid w:val="48276C20"/>
    <w:rsid w:val="49176869"/>
    <w:rsid w:val="49570C93"/>
    <w:rsid w:val="49B01ACC"/>
    <w:rsid w:val="49C55E93"/>
    <w:rsid w:val="4A380373"/>
    <w:rsid w:val="4AB50C3D"/>
    <w:rsid w:val="4B597946"/>
    <w:rsid w:val="4B775B45"/>
    <w:rsid w:val="4C6376D1"/>
    <w:rsid w:val="4D4A2D99"/>
    <w:rsid w:val="4D6E4D26"/>
    <w:rsid w:val="4DD91D2A"/>
    <w:rsid w:val="4E065F00"/>
    <w:rsid w:val="4E6F0D56"/>
    <w:rsid w:val="4E6F51FA"/>
    <w:rsid w:val="4E7756ED"/>
    <w:rsid w:val="4EE14F84"/>
    <w:rsid w:val="4F367AC5"/>
    <w:rsid w:val="4F810F45"/>
    <w:rsid w:val="4FD06F8B"/>
    <w:rsid w:val="5068762A"/>
    <w:rsid w:val="5098023A"/>
    <w:rsid w:val="50FC17ED"/>
    <w:rsid w:val="515471B9"/>
    <w:rsid w:val="51576579"/>
    <w:rsid w:val="519E154B"/>
    <w:rsid w:val="52832978"/>
    <w:rsid w:val="52946FDD"/>
    <w:rsid w:val="52F1186F"/>
    <w:rsid w:val="53F85C86"/>
    <w:rsid w:val="53FA1860"/>
    <w:rsid w:val="54046DFD"/>
    <w:rsid w:val="545E21E7"/>
    <w:rsid w:val="557650C0"/>
    <w:rsid w:val="55E46CD3"/>
    <w:rsid w:val="566E22A4"/>
    <w:rsid w:val="56F20E20"/>
    <w:rsid w:val="57544F8D"/>
    <w:rsid w:val="58644924"/>
    <w:rsid w:val="58AE4969"/>
    <w:rsid w:val="58C63C68"/>
    <w:rsid w:val="596579F1"/>
    <w:rsid w:val="597C6A1D"/>
    <w:rsid w:val="5A4F316F"/>
    <w:rsid w:val="5A543D63"/>
    <w:rsid w:val="5B0B3CDA"/>
    <w:rsid w:val="5B3B7046"/>
    <w:rsid w:val="5BA51563"/>
    <w:rsid w:val="5BA5730C"/>
    <w:rsid w:val="5CBA6BA1"/>
    <w:rsid w:val="5D071F97"/>
    <w:rsid w:val="5D571724"/>
    <w:rsid w:val="5DF432C7"/>
    <w:rsid w:val="5E166C88"/>
    <w:rsid w:val="5E352127"/>
    <w:rsid w:val="5EFC1A9B"/>
    <w:rsid w:val="5F202991"/>
    <w:rsid w:val="5F2E4167"/>
    <w:rsid w:val="5F9755FB"/>
    <w:rsid w:val="5FFB5E88"/>
    <w:rsid w:val="60193851"/>
    <w:rsid w:val="60857625"/>
    <w:rsid w:val="6172381A"/>
    <w:rsid w:val="61930DA7"/>
    <w:rsid w:val="61B054B5"/>
    <w:rsid w:val="62036EF5"/>
    <w:rsid w:val="621F230A"/>
    <w:rsid w:val="62925F9A"/>
    <w:rsid w:val="62C85E72"/>
    <w:rsid w:val="63912841"/>
    <w:rsid w:val="645C36D2"/>
    <w:rsid w:val="65686C72"/>
    <w:rsid w:val="659D0447"/>
    <w:rsid w:val="67CC6DC1"/>
    <w:rsid w:val="67E2596F"/>
    <w:rsid w:val="693B41FE"/>
    <w:rsid w:val="69994CD7"/>
    <w:rsid w:val="69A0558C"/>
    <w:rsid w:val="6BCD6A66"/>
    <w:rsid w:val="6C5F4D83"/>
    <w:rsid w:val="6C763982"/>
    <w:rsid w:val="6DC71988"/>
    <w:rsid w:val="6DE4369A"/>
    <w:rsid w:val="6E1A389B"/>
    <w:rsid w:val="6FB27DC7"/>
    <w:rsid w:val="705636CC"/>
    <w:rsid w:val="71771B4C"/>
    <w:rsid w:val="72885865"/>
    <w:rsid w:val="72BA5D1A"/>
    <w:rsid w:val="74A76449"/>
    <w:rsid w:val="763753A1"/>
    <w:rsid w:val="76896FB4"/>
    <w:rsid w:val="777E1618"/>
    <w:rsid w:val="77815E20"/>
    <w:rsid w:val="778238A1"/>
    <w:rsid w:val="77D50318"/>
    <w:rsid w:val="790B6B69"/>
    <w:rsid w:val="79502CE3"/>
    <w:rsid w:val="79657D37"/>
    <w:rsid w:val="79D92E11"/>
    <w:rsid w:val="7A033B76"/>
    <w:rsid w:val="7B007431"/>
    <w:rsid w:val="7BE21FE1"/>
    <w:rsid w:val="7C0D2971"/>
    <w:rsid w:val="7C565118"/>
    <w:rsid w:val="7CA53A11"/>
    <w:rsid w:val="7D630B3E"/>
    <w:rsid w:val="7D906546"/>
    <w:rsid w:val="7E50694E"/>
    <w:rsid w:val="7F1C33F6"/>
    <w:rsid w:val="7F5A5759"/>
    <w:rsid w:val="7F9345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paragraph" w:styleId="2">
    <w:name w:val="heading 3"/>
    <w:basedOn w:val="1"/>
    <w:next w:val="1"/>
    <w:unhideWhenUsed/>
    <w:qFormat/>
    <w:uiPriority w:val="0"/>
    <w:pPr>
      <w:spacing w:before="20" w:after="20" w:line="360" w:lineRule="auto"/>
      <w:ind w:firstLine="643" w:firstLineChars="200"/>
      <w:outlineLvl w:val="2"/>
    </w:p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ascii="方正仿宋_GBK" w:hAnsi="方正仿宋_GBK" w:eastAsia="方正仿宋_GBK" w:cs="方正仿宋_GBK"/>
      <w:sz w:val="32"/>
      <w:szCs w:val="32"/>
      <w:lang w:val="zh-CN" w:eastAsia="zh-CN" w:bidi="zh-CN"/>
    </w:r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31"/>
    <w:basedOn w:val="10"/>
    <w:qFormat/>
    <w:uiPriority w:val="0"/>
    <w:rPr>
      <w:rFonts w:hint="eastAsia" w:ascii="宋体" w:hAnsi="宋体" w:eastAsia="宋体" w:cs="宋体"/>
      <w:b/>
      <w:bCs/>
      <w:color w:val="000000"/>
      <w:sz w:val="20"/>
      <w:szCs w:val="20"/>
      <w:u w:val="none"/>
    </w:rPr>
  </w:style>
  <w:style w:type="character" w:customStyle="1" w:styleId="12">
    <w:name w:val="font11"/>
    <w:basedOn w:val="10"/>
    <w:qFormat/>
    <w:uiPriority w:val="0"/>
    <w:rPr>
      <w:rFonts w:hint="default" w:ascii="Times New Roman" w:hAnsi="Times New Roman" w:cs="Times New Roman"/>
      <w:b/>
      <w:bCs/>
      <w:color w:val="000000"/>
      <w:sz w:val="20"/>
      <w:szCs w:val="20"/>
      <w:u w:val="none"/>
    </w:rPr>
  </w:style>
  <w:style w:type="character" w:customStyle="1" w:styleId="13">
    <w:name w:val="font51"/>
    <w:basedOn w:val="10"/>
    <w:qFormat/>
    <w:uiPriority w:val="0"/>
    <w:rPr>
      <w:rFonts w:hint="eastAsia" w:ascii="宋体" w:hAnsi="宋体" w:eastAsia="宋体" w:cs="宋体"/>
      <w:b/>
      <w:bCs/>
      <w:color w:val="000000"/>
      <w:sz w:val="20"/>
      <w:szCs w:val="20"/>
      <w:u w:val="none"/>
    </w:rPr>
  </w:style>
  <w:style w:type="character" w:customStyle="1" w:styleId="14">
    <w:name w:val="font91"/>
    <w:basedOn w:val="10"/>
    <w:qFormat/>
    <w:uiPriority w:val="0"/>
    <w:rPr>
      <w:rFonts w:hint="eastAsia" w:ascii="宋体" w:hAnsi="宋体" w:eastAsia="宋体" w:cs="宋体"/>
      <w:b/>
      <w:bCs/>
      <w:color w:val="000000"/>
      <w:sz w:val="20"/>
      <w:szCs w:val="20"/>
      <w:u w:val="none"/>
    </w:rPr>
  </w:style>
  <w:style w:type="character" w:customStyle="1" w:styleId="15">
    <w:name w:val="font81"/>
    <w:basedOn w:val="10"/>
    <w:qFormat/>
    <w:uiPriority w:val="0"/>
    <w:rPr>
      <w:rFonts w:hint="eastAsia" w:ascii="宋体" w:hAnsi="宋体" w:eastAsia="宋体" w:cs="宋体"/>
      <w:b/>
      <w:bCs/>
      <w:color w:val="000000"/>
      <w:sz w:val="20"/>
      <w:szCs w:val="20"/>
      <w:u w:val="none"/>
    </w:rPr>
  </w:style>
  <w:style w:type="character" w:customStyle="1" w:styleId="16">
    <w:name w:val="font21"/>
    <w:basedOn w:val="10"/>
    <w:qFormat/>
    <w:uiPriority w:val="0"/>
    <w:rPr>
      <w:rFonts w:hint="default" w:ascii="Times New Roman" w:hAnsi="Times New Roman" w:cs="Times New Roman"/>
      <w:b/>
      <w:bCs/>
      <w:color w:val="000000"/>
      <w:sz w:val="20"/>
      <w:szCs w:val="20"/>
      <w:u w:val="none"/>
    </w:rPr>
  </w:style>
  <w:style w:type="character" w:customStyle="1" w:styleId="17">
    <w:name w:val="font71"/>
    <w:basedOn w:val="10"/>
    <w:qFormat/>
    <w:uiPriority w:val="0"/>
    <w:rPr>
      <w:rFonts w:hint="eastAsia" w:ascii="宋体" w:hAnsi="宋体" w:eastAsia="宋体" w:cs="宋体"/>
      <w:b/>
      <w:bCs/>
      <w:color w:val="000000"/>
      <w:sz w:val="20"/>
      <w:szCs w:val="20"/>
      <w:u w:val="none"/>
    </w:rPr>
  </w:style>
  <w:style w:type="character" w:customStyle="1" w:styleId="18">
    <w:name w:val="font61"/>
    <w:basedOn w:val="10"/>
    <w:qFormat/>
    <w:uiPriority w:val="0"/>
    <w:rPr>
      <w:rFonts w:hint="default" w:ascii="Times New Roman" w:hAnsi="Times New Roman" w:cs="Times New Roman"/>
      <w:b/>
      <w:bCs/>
      <w:color w:val="000000"/>
      <w:sz w:val="20"/>
      <w:szCs w:val="20"/>
      <w:u w:val="none"/>
    </w:rPr>
  </w:style>
  <w:style w:type="character" w:customStyle="1" w:styleId="19">
    <w:name w:val="font101"/>
    <w:basedOn w:val="10"/>
    <w:qFormat/>
    <w:uiPriority w:val="0"/>
    <w:rPr>
      <w:rFonts w:hint="eastAsia" w:ascii="宋体" w:hAnsi="宋体" w:eastAsia="宋体" w:cs="宋体"/>
      <w:b/>
      <w:bCs/>
      <w:color w:val="000000"/>
      <w:sz w:val="20"/>
      <w:szCs w:val="20"/>
      <w:u w:val="none"/>
    </w:rPr>
  </w:style>
  <w:style w:type="character" w:customStyle="1" w:styleId="20">
    <w:name w:val="font122"/>
    <w:basedOn w:val="10"/>
    <w:qFormat/>
    <w:uiPriority w:val="0"/>
    <w:rPr>
      <w:rFonts w:hint="eastAsia" w:ascii="宋体" w:hAnsi="宋体" w:eastAsia="宋体" w:cs="宋体"/>
      <w:b/>
      <w:bCs/>
      <w:color w:val="000000"/>
      <w:sz w:val="20"/>
      <w:szCs w:val="20"/>
      <w:u w:val="none"/>
    </w:rPr>
  </w:style>
  <w:style w:type="character" w:customStyle="1" w:styleId="21">
    <w:name w:val="font41"/>
    <w:basedOn w:val="10"/>
    <w:qFormat/>
    <w:uiPriority w:val="0"/>
    <w:rPr>
      <w:rFonts w:hint="default" w:ascii="Times New Roman" w:hAnsi="Times New Roman" w:cs="Times New Roman"/>
      <w:color w:val="000000"/>
      <w:sz w:val="20"/>
      <w:szCs w:val="20"/>
      <w:u w:val="none"/>
    </w:rPr>
  </w:style>
  <w:style w:type="character" w:customStyle="1" w:styleId="22">
    <w:name w:val="font121"/>
    <w:basedOn w:val="10"/>
    <w:qFormat/>
    <w:uiPriority w:val="0"/>
    <w:rPr>
      <w:rFonts w:hint="default" w:ascii="Times New Roman" w:hAnsi="Times New Roman" w:cs="Times New Roman"/>
      <w:color w:val="000000"/>
      <w:sz w:val="24"/>
      <w:szCs w:val="24"/>
      <w:u w:val="none"/>
    </w:rPr>
  </w:style>
  <w:style w:type="character" w:customStyle="1" w:styleId="23">
    <w:name w:val="font151"/>
    <w:basedOn w:val="10"/>
    <w:qFormat/>
    <w:uiPriority w:val="0"/>
    <w:rPr>
      <w:rFonts w:hint="eastAsia" w:ascii="宋体" w:hAnsi="宋体" w:eastAsia="宋体" w:cs="宋体"/>
      <w:b/>
      <w:bCs/>
      <w:color w:val="000000"/>
      <w:sz w:val="22"/>
      <w:szCs w:val="22"/>
      <w:u w:val="none"/>
    </w:rPr>
  </w:style>
  <w:style w:type="character" w:customStyle="1" w:styleId="24">
    <w:name w:val="font141"/>
    <w:basedOn w:val="10"/>
    <w:qFormat/>
    <w:uiPriority w:val="0"/>
    <w:rPr>
      <w:rFonts w:hint="default" w:ascii="Times New Roman" w:hAnsi="Times New Roman" w:cs="Times New Roman"/>
      <w:b/>
      <w:bCs/>
      <w:color w:val="000000"/>
      <w:sz w:val="22"/>
      <w:szCs w:val="22"/>
      <w:u w:val="none"/>
    </w:rPr>
  </w:style>
  <w:style w:type="character" w:customStyle="1" w:styleId="25">
    <w:name w:val="font01"/>
    <w:basedOn w:val="10"/>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1056</Words>
  <Characters>1471</Characters>
  <Lines>0</Lines>
  <Paragraphs>0</Paragraphs>
  <TotalTime>5</TotalTime>
  <ScaleCrop>false</ScaleCrop>
  <LinksUpToDate>false</LinksUpToDate>
  <CharactersWithSpaces>1516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2023-01-28T05:27:00Z</dcterms:created>
  <dc:creator>Administrator</dc:creator>
  <cp:lastModifiedBy>Administrator</cp:lastModifiedBy>
  <cp:lastPrinted>2026-04-13T08:19:00Z</cp:lastPrinted>
  <dcterms:modified xsi:type="dcterms:W3CDTF">2026-06-05T08:30:42Z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52FF27D38ECC43559E8D61A733DD990D_13</vt:lpwstr>
  </property>
  <property fmtid="{D5CDD505-2E9C-101B-9397-08002B2CF9AE}" pid="4" name="KSOTemplateDocerSaveRecord">
    <vt:lpwstr>eyJoZGlkIjoiOGEzNDg2NzdlZjJjNGNkMGM4NjIzNWI0ZDYwZDJkMzQiLCJ1c2VySWQiOiIzOTM2MTUzNzAifQ==</vt:lpwstr>
  </property>
</Properties>
</file>